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900 vom 19. August 2014</w:t>
      </w:r>
    </w:p>
    <w:p>
      <w:r>
        <w:t>VD Tribunal cantonal, 2014-08-19, FR</w:t>
      </w:r>
    </w:p>
    <w:p>
      <w:r>
        <w:rPr>
          <w:b/>
        </w:rPr>
        <w:t xml:space="preserve">Quelle: </w:t>
      </w:r>
      <w:r>
        <w:t>https://mcp.opencaselaw.ch/entscheid/vd_findinfo_D_cision___2014___900</w:t>
      </w:r>
    </w:p>
    <w:p>
      <w:r>
        <w:t>FR: VD_FINDINFO Décision / 2014 / 900 du 19 août 2014</w:t>
      </w:r>
    </w:p>
    <w:p>
      <w:r>
        <w:t>IT: VD_FINDINFO Décision / 2014 / 900 del 19 agosto 2014</w:t>
      </w:r>
    </w:p>
    <w:p>
      <w:pPr>
        <w:pStyle w:val="Heading2"/>
      </w:pPr>
      <w:r>
        <w:t>Regeste</w:t>
      </w:r>
    </w:p>
    <w:p>
      <w:r>
        <w:t>CLASSEMENT DE LA PROCÉDURE, FRAIS DE LA PROCÉDURE, PRÉVENU | 319 CPP (CH), 395 let. b CPP (CH), 426 al. 2 CPP (CH)</w:t>
      </w:r>
    </w:p>
    <w:p>
      <w:pPr>
        <w:pStyle w:val="Heading2"/>
      </w:pPr>
      <w:r>
        <w:t>Erwägungen</w:t>
      </w:r>
    </w:p>
    <w:p>
      <w:r>
        <w:rPr>
          <w:b/>
        </w:rPr>
        <w:t>E. 1.1</w:t>
      </w:r>
    </w:p>
    <w:p>
      <w:r>
        <w:t>Interjeté dans le délai légal (art. 322 al. 2 CPP [Code de procédure pénale suisse du 5 octobre 2007; RS 312.0]), contre une ordonnance du Ministère public (art. 393 al. 1 let. a CPP), par le prévenu qui a qualité pour recourir (art. 382 al. 1 CPP) et dans les formes prescrites (art. 385 al. 1 CPP), le recours est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(Loi d'introduction du Code de procédure pénale suisse; RSV 312.01),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Le recourant ne conteste pas le classement en lui-même, mais uniquement la mise à sa charge des frais de procédure, par 225 francs. La valeur litigieuse place donc le recours dans la compétence d’un juge unique de la Chambre des recours pénale (art. 395 let. b CPP).</w:t>
      </w:r>
    </w:p>
    <w:p>
      <w:r>
        <w:rPr>
          <w:b/>
        </w:rPr>
        <w:t>E. 2.1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 Chapuis, in : Kuhn/Jeanneret [éd.], Commentaire romand, Code de procédure pénale suisse, Bâle 2011, n. 2 ad art. 426 CPP) – et a provoqué ainsi l'ouverture d'une enquête pénale ou compliqué celle-ci (TF 6B_87/2012 du 27 avril 2012 c. 1.2 ; ATF 116 Ia 162 c. 2d p. 171 et c. 2e p. 175).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 TF 1B_21/2012 du 27 mars 2012 c. 2.1 ; CREP 16 septembre 2013/578 c. 2a et les références citées). Viole notamment ce principe la décision relative aux frais et indemnité qui constate que l’infraction a été commise, alors que la procédure est classée en raison de l’absence d’une condition de la poursuite, comme la plainte, la prescription ou le décès du prévenu (Jeanneret, L’indemnisation du prévenu poursuivi à tort… ou à raison, Chappuis/Winiger, Journée de la responsabilité civile 2012, Le tort moral en question, Genève 2013, p. 121, et la réf. cit.; Domeisen, in: Niggli/Heer/Wiprächtiger (éd.), Basler Kommentar, Schweizerische Strafprozessordnung, Jugendstrafprozessordnung, Bâle 2011, n. 38 ad art. 426 CPP, et la réf. cit.; Borbély, Die Kostentragung in Einstellungsverfügungen, RPS 129/2011, p. 419, et les réf. cit.).</w:t>
      </w:r>
    </w:p>
    <w:p>
      <w:r>
        <w:rPr>
          <w:b/>
        </w:rPr>
        <w:t>E. 2.2</w:t>
      </w:r>
    </w:p>
    <w:p>
      <w:r>
        <w:t>En l’espèce, la plainte pénale a été déposée le 18 juillet 2012 pour des faits remontant à la période comprise entre 2003 et 2008. Il était donc évident, dès lors que les parties ne faisaient pas ménage commun, que les faits dénoncés par Z.________ étaient prescrits pour ce qui était des chefs de prévention de lésions corporelles simples subsidiairement voies de fait, injure et menaces, et que la plainte était tardive. Il se justifiait dès lors de mettre fin aux poursuites pénales dirigées contre le recourant pour ces infractions. Une instruction pénale n’aurait d’ailleurs pas été ouverte s’il n’y avait eu que les événements ayant fait l’objet de l’ordonnance de classement. Dans ces circonstances et compte tenu des principes mentionnés ci-dessus, la décision de la procureure de mettre les frais à la charge du prévenu libéré viole le principe de la présomption d’innocence.</w:t>
      </w:r>
    </w:p>
    <w:p>
      <w:r>
        <w:rPr>
          <w:b/>
        </w:rPr>
        <w:t>E. 3</w:t>
      </w:r>
    </w:p>
    <w:p>
      <w:r>
        <w:t>Il résulte de ce qui précède que le recours doit être admis et le chiffre III du dispositif de l’ordonnance attaquée réformé en ce sens que les frais de la décision sont laissés à la charge de l’Etat. Les frais de la procédure de recours, constitués en l’espèce de l’émolument d'arrêt, par 540 fr. (art. 20 al. 1 TFIP  [Tarif des frais de procédure et indemnités en matière pénale du 28 septembre 2010; RSV 312.03.1]), et des frais imputables à la défense d’office (art. 422 al. 1 et 2 let. a CPP), fixés à 270 fr., plus la TVA par 21 fr. 60, soit au total 291 fr. 60, seront laissés à la charge de l’Etat (art. 423 al. 1 CPP). Par ces motifs, le juge unique prononce : I. Le recours est admis. II. Le chiffre III du dispositif de l’ordonnance du 5 juin 2014 est réformé en ce sens que les frais de la décision, par 225 fr., sont laissés à la charge de l’Etat. III. L’indemnité du défenseur d’office d’I.________ est fixée à 291 fr. 60 (deux cent nonante-et-un francs et soixante centimes). IV. Les frais d’arrêt, par 540 fr. (cinq cent quarante francs), ainsi que l’indemnité due au défenseur d’office d’I.________, par 291 fr. 60 (deux cent nonante-et-un francs et soixante centimes), sont laissés à la charge de l’Etat. V. Le présent arrêt est exécutoire. Le juge unique :               La greffière : Du L'arrêt qui précède, dont la rédaction a été approuvée à huis clos, est notifié, par l'envoi d'une copie complète, à : - M. Guy Longchamp, avocat (pour I.________), - Ministère public central; et communiqué à : - Mme Coralie Devaud, avocate (pour Z.________),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