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896 vom 20. Oktober 2014</w:t>
      </w:r>
    </w:p>
    <w:p>
      <w:r>
        <w:t>VD Tribunal cantonal, 2014-10-20, FR</w:t>
      </w:r>
    </w:p>
    <w:p>
      <w:r>
        <w:rPr>
          <w:b/>
        </w:rPr>
        <w:t xml:space="preserve">Quelle: </w:t>
      </w:r>
      <w:r>
        <w:t>https://mcp.opencaselaw.ch/entscheid/vd_findinfo_D_cision___2014___896</w:t>
      </w:r>
    </w:p>
    <w:p>
      <w:r>
        <w:t>FR: VD_FINDINFO Décision / 2014 / 896 du 20 octobre 2014</w:t>
      </w:r>
    </w:p>
    <w:p>
      <w:r>
        <w:t>IT: VD_FINDINFO Décision / 2014 / 896 del 20 ottobre 2014</w:t>
      </w:r>
    </w:p>
    <w:p>
      <w:pPr>
        <w:pStyle w:val="Heading2"/>
      </w:pPr>
      <w:r>
        <w:t>Regeste</w:t>
      </w:r>
    </w:p>
    <w:p>
      <w:r>
        <w:t>SUPPRESSION{EN GÉNÉRAL} | 140 CPP (CH), 141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Une décision du ministère public refusant de retrancher des pièces du dossier est ainsi susceptible de recours selon les art. 393 ss CPP (Stephenson/Thiriet, in : Niggli/Heer/Wiprächtiger [éd.], Basler Kommentar, Schweizerische Strafprozessordnung, Jugendstrafprozessordnung, Bâle 2011, n. 10 ad art. 393 CPP ; CREP 7 juillet 2014/454 ; CREP 18 février 2014/129).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Interjeté en temps utile devant l’autorité compétente par une partie qui a qualité pour recourir au sens de l'art. 382 al. 1 CPP et satisfaisant aux conditions de formes prescrites (art. 385 al. 1 CPP), le recours est recevable.</w:t>
      </w:r>
    </w:p>
    <w:p>
      <w:r>
        <w:rPr>
          <w:b/>
        </w:rPr>
        <w:t>E. 2</w:t>
      </w:r>
    </w:p>
    <w:p>
      <w:r>
        <w:t>Le recourant invoque une violation de l’art. 141 al. 1 et 2 CPP.</w:t>
      </w:r>
    </w:p>
    <w:p>
      <w:r>
        <w:rPr>
          <w:b/>
        </w:rPr>
        <w:t>E. 2.1</w:t>
      </w:r>
    </w:p>
    <w:p>
      <w:r>
        <w:t>Selon l’art. 140 al. 1 CPP, les moyens de contrainte, le recours à la force, les menaces, les promesses, la tromperie et les moyens susceptibles de restreindre les facultés intellectuelles ou le libre arbitre sont interdits dans l'administration des preuves. Ces méthodes sont interdites même si la personne concernée a consenti à leur mise en œuvre (al. 2).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une infraction grave (al. 2). Les preuves qui ont été administrées en violation des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139 IV 128 c. 1.6; Message relatif à l'unification du droit de la procédure pénale du 21 décembre 2005, FF 2006 pp. 1057 ss, spéc. 1163). Les prescriptions d’ordre sont de simples mesures procédurales permettant l’investigation pénale. On pensera notamment aux mandats de comparution, d’amener et de recherche, de perquisitions, fouilles et examens (Bénédict/Treccani, in : Kuhn/Jeanneret [éd.], Commentaire Romand, Code de procédure pénale, nn. 9 et 17 ad art. 141 CPP).</w:t>
      </w:r>
    </w:p>
    <w:p>
      <w:r>
        <w:rPr>
          <w:b/>
        </w:rPr>
        <w:t>E. 2.2</w:t>
      </w:r>
    </w:p>
    <w:p>
      <w:r>
        <w:t>Le recourant soutient que les procès-verbaux litigieux constitueraient des moyens de preuve obtenus illégalement parce qu’il a été entendu le 24 octobre 2012 par la police en qualité de personne appelée à donner des renseignements, alors que le Ministère public avait donné pour instruction qu’il soit entendu comme prévenu et parce que le gendarme ayant procédé à son interrogatoire lui aurait laissé entendre qu’il n’avait pas commis d’infraction et que l’affaire n’aurait pas de suite.</w:t>
      </w:r>
    </w:p>
    <w:p>
      <w:r>
        <w:rPr>
          <w:b/>
        </w:rPr>
        <w:t>E. 2.3</w:t>
      </w:r>
    </w:p>
    <w:p>
      <w:r>
        <w:t>Il ressort du dossier que le gendarme H.________ a procédé le 24 octobre 2012 à l’audition du recourant en qualité de personne appelée à donner des renseignements et l’a informé de ses droits ; ce gendarme, entré en fonction en mars 2012, était inexpérimenté (cf. PV aud. 4). Comme le recourant devait être entendu comme prévenu, il a été entendu en cette qualité le 29 novembre 2012 par le même gendarme. Il était accompagné d’un collègue, P.________, à la présence duquel le gendarme ne s’est pas opposé. Le recourant, lors de cet interrogatoire, a été informé de ses droits de prévenu. Le gendarme a également fait signer le procès-verbal à P.________, lequel, sans être lui-même entendu (les droits et obligations du témoin n’ont d’ailleurs pas été portés à sa connaissance), a aidé le recourant à répondre aux questions posées (PV aud. 2, ad réponses 7 et 8, p. 3). A la fin de l’audition, qui s’est déroulée dans un climat détendu, le gendarme a laissé entendre que l’affaire n’aurait pas de suite (cf. témoignage de P.________, PV aud. 3). Il a rédigé son rapport dans ce sens (P. 11). Contrairement à ce que suggère le recourant, aucun indice ne donne à penser que le gendarme ait eu recours à la tromperie ou qu’il ait fait des promesses au recourant pour l’amener à parler. C’est en effet par erreur, et non pour tromper le prévenu, que celui-ci a été entendu en qualité de personne appelée à donner des renseignements le 24 octobre 2012. Si le gendarme a laissé entendre que l’affaire n’aurait pas de suite, il l’a fait à la fin de l’audition, parce qu’il ne croyait pas à l’existence d’une infraction ou à la culpabilité du recourant (cf. PV aud. 4), et non pour obtenir des aveux. Les preuves n’ont donc pas été administrées d’une manière prohibée au regard de la loi (art. 140 et 141 al. 1 CPP). Rien, dans les éléments figurant au dossier, en particulier les explications fournies par P.________ le 24 juillet 2014 (PV aud. 3), ne permet de conclure que les procès-verbaux litigieux ne seraient pas exploitables, au sens l’art. 141 al. 4 CPP. En outre, le fait que l’audition du recourant, le 24 octobre 2012, en qualité de personne appelée à donner des renseignements, ait dû être renouvelée le 29 novembre 2012, cette fois en qualité de prévenu, ne signifie pas que ces preuves auraient été administrées d’une manière illicite ou en violation des règles de validité, selon l’art. 141 al. 2 CPP. L’audition comme personne appelée à donner des renseignements ne viole pas la loi, puisque le recourant a été informé de ses droits, notamment celui de refuser de collaborer ou de témoigner (cf. art. 180 al. 1 CPP). Et s’il a été réentendu comme prévenu, c’est parce que cette opération est nécessaire lorsque le procureur entend rendre une ordonnance pénale. Quant à la présence de P.________ lors de l’audition du 29 novembre 2012, le recourant l’a lui-même demandée. Le prénommé n’a pas été directement été interrogé, puisque ce qu’il a pu dire lors de l’audition n’a pas été transcrit comme étant ses propres déclarations. Il s’est limité à assister le recourant qui a ainsi pu répondre avec plus de précision aux questions qui lui étaient posées. La seule erreur est d’avoir fait signer le procès-verbal à P.________. Peu importe que l’on ne s’explique pas vraiment cette erreur, puisque l’intéressé est de toute façon hors de cause. La preuve litigieuse a sans doute été administrée d’une manière que l’on peut qualifier d’incongrue, mais non pas de manière illicite ou en violation des règles de validité, au sens de l’art. 141 al. 2 CPP. On a tout au plus affaire à la violation de prescriptions d’ordre, selon l’art. 141 al. 3 CPP, de sorte que le procès-verbal incriminé demeure exploitable. En conclusion, il n’y a aucun motif de retrancher du dossier les procès-verbaux d’audition des 24 octobre et 29 novembre 2012, les conditions auxquelles cette mesure est soumise n’étant pas réunies.</w:t>
      </w:r>
    </w:p>
    <w:p>
      <w:r>
        <w:rPr>
          <w:b/>
        </w:rPr>
        <w:t>E. 3</w:t>
      </w:r>
    </w:p>
    <w:p>
      <w:r>
        <w:t>Il résulte de ce qui précède que le recours, manifestement mal fondé, doit être rejeté et la décision du Ministère public du 1 er septembre 2014 confirmée. Les frais de la procédure de recours, constitués en l’espèce du seul émolument d'arrêt, par 770 fr. (art. 20 al. 1 TFIP [tarif des frais de procédure et indemnités en matière pénale; RSV 312.03.1]), seront mis à la charge du recourant, qui succombe (art. 428 al. 1 CPP). Par ces motifs, la Chambre des recours pénale prononce : I. Le recours est rejeté. II. L’ordonnance du 1 er septembre 2014 est confirmée. III. Les frais d’arrêt, par 770 fr. (sept cent septante francs), sont mis à la charge de R.________. IV. Le présent arrêt est exécutoire. Le président :               Le greffier : Du L'arrêt qui précède, dont la rédaction a été approuvée à huis clos, est notifié, par l'envoi d'une copie complète, à : - M. Pierre-Yves Baumann, avocat (pour R.________),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