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893 vom 16. Oktober 2014</w:t>
      </w:r>
    </w:p>
    <w:p>
      <w:r>
        <w:t>VD Tribunal cantonal, 2014-10-16, FR</w:t>
      </w:r>
    </w:p>
    <w:p>
      <w:r>
        <w:rPr>
          <w:b/>
        </w:rPr>
        <w:t xml:space="preserve">Quelle: </w:t>
      </w:r>
      <w:r>
        <w:t>https://mcp.opencaselaw.ch/entscheid/vd_findinfo_D_cision___2014___893</w:t>
      </w:r>
    </w:p>
    <w:p>
      <w:r>
        <w:t>FR: VD_FINDINFO Décision / 2014 / 893 du 16 octobre 2014</w:t>
      </w:r>
    </w:p>
    <w:p>
      <w:r>
        <w:t>IT: VD_FINDINFO Décision / 2014 / 893 del 16 ottobre 2014</w:t>
      </w:r>
    </w:p>
    <w:p>
      <w:pPr>
        <w:pStyle w:val="Heading2"/>
      </w:pPr>
      <w:r>
        <w:t>Regeste</w:t>
      </w:r>
    </w:p>
    <w:p>
      <w:r>
        <w:t>DÉTENTION PROVISOIRE, RISQUE DE FUITE, PROPORTIONNALITÉ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En l’espèce, le recourant a finalement avoué avoir été en possession de deux sachets de marijuana et de quatre boulettes de cocaïne ainsi qu’avoir tenté de s’en débarrasser lors de son interpellation par la police. Il a reconnu s’être livré à un trafic de cocaïne portant sur des quantités se situant à la limite du cas grave. Il a cependant nié avoir volé le téléphone portable de marque Samsung et a expliqué l’avoir échangé contre une boulette de cocaïne (PV aud. du 16 juillet 2014). Au vu de l’ensemble des éléments qui précèdent, il existe une présomption suffisamment sérieuse de culpabilité à l’encontre de T.________, ce que ce dernier ne conteste d’ailleurs pas.</w:t>
      </w:r>
    </w:p>
    <w:p>
      <w:r>
        <w:rPr>
          <w:b/>
        </w:rPr>
        <w:t>E. 3</w:t>
      </w:r>
    </w:p>
    <w:p>
      <w:r>
        <w:t>Le recourant conteste le risque de fuite (art. 221 al. 1 let. a CPP).</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w:t>
      </w:r>
    </w:p>
    <w:p>
      <w:r>
        <w:rPr>
          <w:b/>
        </w:rPr>
        <w:t>E. 3.2</w:t>
      </w:r>
    </w:p>
    <w:p>
      <w:r>
        <w:t>En l’espèce, le recourant, ressortissant tunisien domicilié en Italie, n’a aucune attache avec la Suisse. Il est sous le coup d’une décision d’interdiction d’entrée sur le territoire valable du 20 mars 2014 au 19 mars 2017. Sans ressources, il semble que le recourant soit venu en Suisse dans le seul but d’y commettre des infractions. Il est ainsi fortement à craindre qu’il cherche à se soustraire aux poursuites pénales en cas de libération. Bien réel, le risque de fuite justifie la détention provisoire du recourant. L’existence de ce motif de détention dispense d’examiner si la détention provisoire s’impose également en raison du risque de réitération.</w:t>
      </w:r>
    </w:p>
    <w:p>
      <w:r>
        <w:rPr>
          <w:b/>
        </w:rPr>
        <w:t>E. 4</w:t>
      </w:r>
    </w:p>
    <w:p>
      <w:r>
        <w:t>Le recourant invoque une violation du principe de la proportionnalité (art. 212 al. 3 CPP).</w:t>
      </w:r>
    </w:p>
    <w:p>
      <w:r>
        <w:rPr>
          <w:b/>
        </w:rPr>
        <w:t>E. 4.1</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T.________ est détenu depuis le 4 avril 2014, soit depuis plus de six mois. Il n’a pas de casier judiciaire, mais a été détenu 59 jours dans une cause ouverte auprès du Ministère public de l’arrondissement de Lausanne. Compte tenu des actes qui lui sont reprochés (art. 19 ch. 1 LStup et 139 ch. 1 CP), le recourant s'expose à une peine privative de liberté d’une durée encore compatible avec celle de la détention provisoire subie à ce jour. Cependant, dans sa demande de prolongation de la détention provisoire du 23 septembre 2014, le Procureur a exposé que le rapport final des enquêteurs devait être déposé fin septembre 2014. Dès ce moment, le dossier sera transmis au Ministère public de l’arrondissement de Lausanne qui joindra les dossiers, fixera un délai de prochaine clôture aux parties puis rendra un acte d’accusation. Il importe donc, pour que le principe de la proportionnalité demeure respecté, que le Ministère public fasse en sorte que la clôture de l’enquête ainsi que la mise en accusation interviennent dans les meilleurs délais.</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T.________,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octobre 2014 est confirmée. III. L’indemnité allouée au défenseur d'office de T.________ est fixée à 583 fr. 20 (cinq cent huitante-trois francs et vingt centimes). IV. Les frais du présent arrêt, par 660 fr. (six cent soixante francs), ainsi que l’indemnité due au défenseur d’office de T.________, par 583 fr. 20 (cinq cent huitante-trois francs et vingt centimes), sont mis à la charge de ce dernier. V. Le remboursement à l'Etat de l'indemnité allouée au chiffre III ci-dessus ne sera exigible que pour autant que la situation de T.________ se soit améliorée. VI. Le présent arrêt est exécutoire. Le vice-président : La greffière : Du L'arrêt qui précède, dont la rédaction a été approuvée à huis clos, est notifié, par l'envoi d'une copie complète, à : - Mme Virginie Rodigari, avocate (pour T.________),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