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867 vom 8. Oktober 2014</w:t>
      </w:r>
    </w:p>
    <w:p>
      <w:r>
        <w:t>VD Tribunal cantonal, 2014-10-08, FR</w:t>
      </w:r>
    </w:p>
    <w:p>
      <w:r>
        <w:rPr>
          <w:b/>
        </w:rPr>
        <w:t xml:space="preserve">Quelle: </w:t>
      </w:r>
      <w:r>
        <w:t>https://mcp.opencaselaw.ch/entscheid/vd_findinfo_D_cision___2014___867</w:t>
      </w:r>
    </w:p>
    <w:p>
      <w:r>
        <w:t>FR: VD_FINDINFO Décision / 2014 / 867 du 8 octobre 2014</w:t>
      </w:r>
    </w:p>
    <w:p>
      <w:r>
        <w:t>IT: VD_FINDINFO Décision / 2014 / 867 del 8 ottobre 2014</w:t>
      </w:r>
    </w:p>
    <w:p>
      <w:pPr>
        <w:pStyle w:val="Heading2"/>
      </w:pPr>
      <w:r>
        <w:t>Regeste</w:t>
      </w:r>
    </w:p>
    <w:p>
      <w:r>
        <w:t>DÉTENTION PROVISOIRE, RISQUE DE FUITE, PROPORTIONNALITÉ | 221 CPP (CH)</w:t>
      </w:r>
    </w:p>
    <w:p>
      <w:pPr>
        <w:pStyle w:val="Heading2"/>
      </w:pPr>
      <w:r>
        <w:t>Erwägungen</w:t>
      </w:r>
    </w:p>
    <w:p>
      <w:r>
        <w:rPr>
          <w:b/>
        </w:rPr>
        <w:t>E. 1</w:t>
      </w:r>
    </w:p>
    <w:p>
      <w:r>
        <w:t>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ou pour des motifs de sûreté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c’est à tort que le recourant conteste l’existence de présomptions de culpabilité suffisantes. Les présomptions de culpabilité découlent en effet des déclarations du recourant, qui a admis la tentative de vol et de dommages à la propriété du 19 juillet 2014 à Lausanne. L’intéressé a été reconnu par le plaignant et la police a retrouvé sur les lieux des objets suspects, tels que des gants et divers outils, ainsi qu’un cylindre de serrure dans sa poche. Quant à l’agression, le recourant a été reconnu par un témoin et il est mis en cause par ses comparses et l’un de ses complices.</w:t>
      </w:r>
    </w:p>
    <w:p>
      <w:r>
        <w:rPr>
          <w:b/>
        </w:rPr>
        <w:t>E. 3</w:t>
      </w:r>
    </w:p>
    <w:p>
      <w:r>
        <w:t>Le recourant conteste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il ressort des auditions par la police et par le procureur des 19 et 20 juillet 2014 que le recourant n’a pas d’emploi ou d’autres ressources financières quelconques, qu’il vit grâce à l’argent remis par une amie, qu’il n’a pas d’attachse avec la Suisse et que sa demande d’asile a été rejetée. Le fait qu’il aurait désormais une adresse en Suisse ne suffit pas à créer une attache solide et ne garantit en rien qu’il se présente devant ses juges. Bien réel, le risque de fuite justifie la détention pour des motifs de sûreté du recourant.</w:t>
      </w:r>
    </w:p>
    <w:p>
      <w:r>
        <w:rPr>
          <w:b/>
        </w:rPr>
        <w:t>E. 4</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au moment où le Tribunal des mesures de contrainte a rendu l’ordonnance attaquée, le recourant se trouvait en détention provisoire depuis 68 jours. Le 10 décembre 2014, date fixée pour l’audience de jugement devant le Tribunal de police de l’arrondissement de La Côte, il aura donc subi 145 jours de détention avant jugement. Or le Ministère public l’a condamné le 29 août 2014 à une peine privative de liberté de 100 jours. On saurait admettre dans ces conditions qu’il doive s’attendre, de la part du tribunal de police, au prononcé d’une peine privative de liberté largement supérieure à celle infligée par le procureur. Cela étant, il appert qu’il reste au recourant à exécuter une peine privative de liberté de 75 jours infligée par ordonnance pénale du 10 février 2014 rendue par le Ministère public de l’arrondissement du Nord vaudois, comme cela résulte d’une lettre du 15 septembre 2014 de l’Office d’exécution des peines au Tribunal d’arrondissement de La Côte, attirant l’attention de celui-ci sur la nécessité de maintenir le prévenu en détention à l’issue de la procédure pendante devant lui. Il se justifie dès lors d’ordonner que le recourant exécute cette peine privative de liberté à titre de mesure de substitution (cf. art. 237 CPP). L’exécution de cette peine permettra d’atteindre le même but que la détention pour des motifs de sûreté, soit notamment prévenir le risque de fuite (cf. CREP 19 juin 2014/420 c. 4c). Il faut toutefois, pour cela, que ladite peine soit exécutée en milieu fermé, sans possibilité de congés. Il s’agira néanmoins d’une mesure moins dommageable puisque le recourant sera au bénéfice d’un régime carcéral moins sévère (CREP 19 juin 2014/420). Cela étant, pour éviter que le recourant puisse se retrouver en liberté après l’exécution de la peine précitée, il appartiendra à l’Office d’exécution des peines de renseigner en temps utile la direction de la procédure sur les dates de début et de fin d’exécution de cette peine, de manière qu’elle puisse prendre les dispositions nécessaires pour qu’un placement en détention provisoire ou pour des motifs de sûreté puisse le cas échéant être ordonné de nouveau à la fin de l’exécution de la peine (CREP 19 juin 2014/420 c. 4d ; cf. TF 1B_165/2012 du 12 avril 2012 c. 2.3 in fine ).</w:t>
      </w:r>
    </w:p>
    <w:p>
      <w:r>
        <w:rPr>
          <w:b/>
        </w:rPr>
        <w:t>E. 5</w:t>
      </w:r>
    </w:p>
    <w:p>
      <w:r>
        <w:t>En définitive, le recours doit être partiellement admis en ce sens que la détention pour des motifs de sûreté du recourant est ordonnée jusqu’à la mise en œuvre de la mesure de substitution évoquée au considérant 4 b ci-dessus. Les frais de la procédure de recours, constitués de l'émolument d'arrêt (art. 422 al. 1 CPP), par 660 fr. (art. 20 al. 1 TFIP [tarif des frais de procédure et indemnités en matière pénale du 28 septembre 2010; RSV 312.03.1]), seront laissés à la charge de l’Etat (art. 428 al. 4 CPP). Par ces motifs, la Chambre des recours pénale prononce : I. Le recours est partiellement admis. II. L’ordonnance du 24 septembre 2014 est maintenue en ce sens que la détention pour des motifs de sûreté de G.________ est ordonnée jusqu’à la mise en œuvre de la mesure de substitution prévue sous chiffre III ci-dessous. III. Une mesure de substitution en lieu et place de la détention pour des motifs de sûreté est ordonnée sous la forme de l’exécution de la peine privative de liberté de 75 jours prononcée le 10 février 2014 par le Ministère public de l’arrondissement du Nord vaudois. IV. G.________ passe sous l’autorité de l’Office d’exécution des peines en vue d’exécuter en régime ordinaire la peine mentionnée sous chiffre III ci-dessus. L’Office d’exécution des peines renseignera en temps utile la direction de la procédure sur les dates de début et de fin d’exécution de cette peine. V. Les frais d’arrêt, par 660 fr. (six cent soixante francs), sont laissés à la charge de l’Etat VI. Le présent arrêt est exécutoire. Le président :               Le greffier : Du L'arrêt qui précède, dont la rédaction a été approuvée à huis clos, est notifié, par l'envoi d'une copie complète, à : - M. G.________, - Ministère public central, et communiqué à : - Mme Sarah El-Abshihy, avocate (pour G.________), - Mme la Présidente du Tribunal des mesures de contrainte, - Mme la Présidente du Tribunal d’arrondissement de La Côte, - M. le Procureur de l’arrondissement de La Côte,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