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861 vom 7. Juli 2014</w:t>
      </w:r>
    </w:p>
    <w:p>
      <w:r>
        <w:t>VD Tribunal cantonal, 2014-07-07, FR</w:t>
      </w:r>
    </w:p>
    <w:p>
      <w:r>
        <w:rPr>
          <w:b/>
        </w:rPr>
        <w:t xml:space="preserve">Quelle: </w:t>
      </w:r>
      <w:r>
        <w:t>https://mcp.opencaselaw.ch/entscheid/vd_findinfo_D_cision___2014___861</w:t>
      </w:r>
    </w:p>
    <w:p>
      <w:r>
        <w:t>FR: VD_FINDINFO Décision / 2014 / 861 du 7 juillet 2014</w:t>
      </w:r>
    </w:p>
    <w:p>
      <w:r>
        <w:t>IT: VD_FINDINFO Décision / 2014 / 861 del 7 luglio 2014</w:t>
      </w:r>
    </w:p>
    <w:p>
      <w:pPr>
        <w:pStyle w:val="Heading2"/>
      </w:pPr>
      <w:r>
        <w:t>Regeste</w:t>
      </w:r>
    </w:p>
    <w:p>
      <w:r>
        <w:t>CLASSEMENT DE LA PROCÉDURE, VIOLATION DE DOMICILE | 186 CP,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lorsque les probabilités d'acquittement et de condamnation apparaissent équivalentes en présence d'une infraction grave (TF 6B_797/2013 du 24 mars 2014 c. 2.1; ATF 138 IV 86 c. 4.1.2; ATF 137 IV 285 c. 2.5).</w:t>
      </w:r>
    </w:p>
    <w:p>
      <w:r>
        <w:rPr>
          <w:b/>
        </w:rPr>
        <w:t>E. 2.2</w:t>
      </w:r>
    </w:p>
    <w:p>
      <w:r>
        <w:t>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ATF 112 IV 31 c. 3, JT 1986 IV 78; ATF 108 IV 33 c. 5a, JT 1983 IV 76). Le droit au domicile suppose donc la maîtrise effective des lieux (ATF 112 IV 31 précité). Dans le cadre d’un bail à loyer, c’est le locataire qui possède la qualité d’ayant droit, à l’exclusion du propriétaire des lieux (ATF 118 IV 67 c. 1c). Il faut considérer que le locataire qui persiste à occuper les lieux en dépit d’une résiliation valable ne contrevient pas à l’art. 186 CP et reste même l’unique titulaire du droit au domicile ; ce dernier prend en effet naissance avec l’occupation et cesse avec le départ de l’occupant (Dupuis et alii, Petit commentaire du Code pénal, Bâle 2012, n. 21 ad art. 186 CP). L’art. 186 CP envisage d’abord le cas dans lequel l’auteur pénètre dans le domicile de l’ayant droit contre sa volonté. Dans cette hypothèse, l’infraction est consommée dès que l’auteur s’introduit, contre la volonté de l’ayant droit, dans le domaine clos (ATF 128 IV 81 c. 4a). Il suffit qu’il introduise une partie de son corps dans le lieu en question (ATF 87 IV 120 c. 2 ; Dupuis et alii [éd.], op. cit., n. 16 ad art. 186 CP et les références citées). La violation de domicile est une infraction intentionnelle. Le dol éventuel suffit (art. 12 al. 2 CP).</w:t>
      </w:r>
    </w:p>
    <w:p>
      <w:r>
        <w:rPr>
          <w:b/>
        </w:rPr>
        <w:t>E. 2.3</w:t>
      </w:r>
    </w:p>
    <w:p>
      <w:r>
        <w:t>En l’espèce, il ressort de l’audition du prévenu qu’il a fait appel, sur demande des propriétaires, à un serrurier afin de changer la serrure du garage-box loué par L.________, puisque ce dernier ne l’avait pas libéré pour le 31 décembre 2013 (PV aud. 1, p. 2). Pour ces faits, V.________ a été condamné pour dommages à la propriété par ordonnance pénale du 14 mai 2014. Cependant, il ne ressort pas du dossier que le prévenu soit entré dans ce box (PV aud. 1, p. 3). Ainsi, les seules suppositions du recourant ne sauraient, en l’absence d’autres éléments, être tenues pour des indices suffisants, d’autant plus qu’il est tout à fait possible de changer le cylindre d’une porte sans pénétrer à l’intérieur de la pièce. Dès lors, la condition selon laquelle l’auteur doit pénétrer dans le domicile de l’ayant droit n’apparaît pas réalisée (cf. art. 186 CP). Partant, c'est à juste titre que le Ministère public de l’arrondissement de l’Est vaudois a prononcé un classement en faveur de V.________ pour violation de domicile.</w:t>
      </w:r>
    </w:p>
    <w:p>
      <w:r>
        <w:rPr>
          <w:b/>
        </w:rPr>
        <w:t>E. 3</w:t>
      </w:r>
    </w:p>
    <w:p>
      <w:r>
        <w:t>En définitive, le recours doit être rejeté et l’ordonnance attaquée confirmée. Les frais de la procédure de recours, constitués en l’espèce du seul émolument d'arrêt, par 550 fr. (art. 20 al. 1 et 2 TFIP [Tarif des frais de procédure et indemnités en matière pénale du 28 septembre 2010; RSV 312.03.1]), doivent être mis à la charge de L.________, qui succombe (art. 428 al. 1 CPP). Par ces motifs, la Chambre des recours pénale prononce : I. Le recours est rejeté. II. L'ordonnance du 14 mai 2014 est confirmée. III. Les frais de la procédure de recours, par 550 fr. (cinq cent cinquante francs), sont mis à la charge de L.________. IV. Le présent arrêt est exécutoire. Le président :               La greffière : Du L'arrêt qui précède, dont la rédaction a été approuvée à huis clos, est notifié, par l'envoi d'une copie complète, à : - M. Jean Lob, avocat (pour L.________), - M. Mathias Keller,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