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852 vom 3. Oktober 2014</w:t>
      </w:r>
    </w:p>
    <w:p>
      <w:r>
        <w:t>VD Tribunal cantonal, 2014-10-03, FR</w:t>
      </w:r>
    </w:p>
    <w:p>
      <w:r>
        <w:rPr>
          <w:b/>
        </w:rPr>
        <w:t xml:space="preserve">Quelle: </w:t>
      </w:r>
      <w:r>
        <w:t>https://mcp.opencaselaw.ch/entscheid/vd_findinfo_D_cision___2014___852</w:t>
      </w:r>
    </w:p>
    <w:p>
      <w:r>
        <w:t>FR: VD_FINDINFO Décision / 2014 / 852 du 3 octobre 2014</w:t>
      </w:r>
    </w:p>
    <w:p>
      <w:r>
        <w:t>IT: VD_FINDINFO Décision / 2014 / 852 del 3 ottobre 2014</w:t>
      </w:r>
    </w:p>
    <w:p>
      <w:pPr>
        <w:pStyle w:val="Heading2"/>
      </w:pPr>
      <w:r>
        <w:t>Regeste</w:t>
      </w:r>
    </w:p>
    <w:p>
      <w:r>
        <w:t>DÉTENTION PROVISOIRE, RISQUE DE RÉCIDIVE, SOUPÇON, MESURE DE SUBSTITUTION À LA DÉTENTION | 221 al. 1 let. c CPP (CH)</w:t>
      </w:r>
    </w:p>
    <w:p>
      <w:pPr>
        <w:pStyle w:val="Heading2"/>
      </w:pPr>
      <w:r>
        <w:t>Erwägungen</w:t>
      </w:r>
    </w:p>
    <w:p>
      <w:r>
        <w:rPr>
          <w:b/>
        </w:rPr>
        <w:t>E. 4.1</w:t>
      </w:r>
    </w:p>
    <w:p>
      <w:r>
        <w:t>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V.________ est détenu depuis le 1 er mai 2014, soit depuis un peu plus de quatre mois. Compte tenu de la gravité des actes qui lui sont reprochés (art. 19 al. 2 LStup), le recourant s'expose à une peine d’une durée supérieure à celle de la détention provisoire ordonnée. Au vu de ces éléments, le principe de la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770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de V.________,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septembre 2014 est confirmée. III. L’indemnité allouée au défenseur d'office de V.________ est fixée à 583 fr. 20 (cinq cent huitante-trois francs et vingt centimes). IV. Les frais du présent arrêt, par 770 fr. (sept cent septante francs), ainsi que l’indemnité due au défenseur d’office de V.________, par 583 fr. 20 (cinq cent huitante-trois francs et vingt centimes), sont mis à la charge de ce dernier. V. Le remboursement à l'Etat de l'indemnité allouée au chiffre III ci-dessus ne sera exigible que pour autant que la situation de V.________ se soit améliorée. VI. Le présent arrêt est exécutoire. Le président :               La greffière : Du L'arrêt qui précède, dont la rédaction a été approuvée à huis clos, est notifié, par l'envoi d'une copie complète, à : - M. Julien Gafner, avocat (pour V.________),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