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849 vom 25. Juli 2014</w:t>
      </w:r>
    </w:p>
    <w:p>
      <w:r>
        <w:t>VD Tribunal cantonal, 2014-07-25, FR</w:t>
      </w:r>
    </w:p>
    <w:p>
      <w:r>
        <w:rPr>
          <w:b/>
        </w:rPr>
        <w:t xml:space="preserve">Quelle: </w:t>
      </w:r>
      <w:r>
        <w:t>https://mcp.opencaselaw.ch/entscheid/vd_findinfo_D_cision___2014___849</w:t>
      </w:r>
    </w:p>
    <w:p>
      <w:r>
        <w:t>FR: VD_FINDINFO Décision / 2014 / 849 du 25 juillet 2014</w:t>
      </w:r>
    </w:p>
    <w:p>
      <w:r>
        <w:t>IT: VD_FINDINFO Décision / 2014 / 849 del 25 luglio 2014</w:t>
      </w:r>
    </w:p>
    <w:p>
      <w:pPr>
        <w:pStyle w:val="Heading2"/>
      </w:pPr>
      <w:r>
        <w:t>Regeste</w:t>
      </w:r>
    </w:p>
    <w:p>
      <w:r>
        <w:t>TITRE JURIDIQUE, CLASSEMENT DE LA PROCÉDURE | 251 CP</w:t>
      </w:r>
    </w:p>
    <w:p>
      <w:pPr>
        <w:pStyle w:val="Heading2"/>
      </w:pPr>
      <w:r>
        <w:t>Erwägungen</w:t>
      </w:r>
    </w:p>
    <w:p>
      <w:r>
        <w:rPr>
          <w:b/>
        </w:rPr>
        <w:t>E. 1</w:t>
      </w:r>
    </w:p>
    <w:p>
      <w:r>
        <w:t>Les parties peuvent attaquer une ordonnance de classement rendue par le ministère public en application des art. 319 ss CPP (Code de procédure pénale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w:t>
      </w:r>
    </w:p>
    <w:p>
      <w:r>
        <w:rPr>
          <w:b/>
        </w:rPr>
        <w:t>E. 2.2</w:t>
      </w:r>
    </w:p>
    <w:p>
      <w:r>
        <w:t>Le principe "in dubio pro duriore" découle du principe de la légalité (art. 5 al. 1 Cst. [Constitution fédérale de la Confédération suisse; RS 101] et 2 al. 2 CPP en relation avec les art. 319 al. 1 et 324 CPP; ATF 138 IV 86 c. 4.2 p. 91; ATF 138 IV 186). Il signifie qu'en principe, un classement ou une non-entrée en matière ne peuvent être prononcés par le ministère public que lorsqu'il apparaît clairement que les faits ne sont pas punissables ou que les conditions à la poursuite pénale ne sont pas remplies (TF 6B_797/2013 du 27 mars 2014 c. 2.1).</w:t>
      </w:r>
    </w:p>
    <w:p>
      <w:r>
        <w:rPr>
          <w:b/>
        </w:rPr>
        <w:t>E. 3</w:t>
      </w:r>
    </w:p>
    <w:p>
      <w:r>
        <w:t>Le recourant conteste le classement prononcé par le procureur, faisant valoir que K.________ a produit une fausse reconnaissance de dette dans le cadre d'une instruction pénale dirigée contre lui.</w:t>
      </w:r>
    </w:p>
    <w:p>
      <w:r>
        <w:rPr>
          <w:b/>
        </w:rPr>
        <w:t>E. 3.1</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est définie par l'art. 110 al. 4 CP, qui prévoit que sont notamment réputés titres tous écrits destinés et propres à prouver un fait ayant une portée juridique (Corboz, Les infractions en droit suisse, vol. II, 3 e éd. Berne 2010, 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 2a). Le fait que le titre doit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 20 et 27 ad art. 251 CP).</w:t>
      </w:r>
    </w:p>
    <w:p>
      <w:r>
        <w:rPr>
          <w:b/>
        </w:rPr>
        <w:t>E. 3.2</w:t>
      </w:r>
    </w:p>
    <w:p>
      <w:r>
        <w:t>En l'espèce, le document auquel F.________ fait référence dans sa plainte, et dont il reproche à K.________ de l'avoir produit dans le cadre d'une procédure ouverte à son encontre, ne constitue pas un titre au regard des définitions brièvement rappelées ci-dessus, faute pour celui-ci d'avoir été signé par l'intéressé. Il n'a donc aucune portée juridique et, partant, c'est à bon droit que le procureur a considéré que les conditions objectives de l'infraction de faux dans les titres n'était pas réunies et, partant, qu'il a ordonné le classement de la cause. Celui-ci doit être confirmé.</w:t>
      </w:r>
    </w:p>
    <w:p>
      <w:r>
        <w:rPr>
          <w:b/>
        </w:rPr>
        <w:t>E. 4</w:t>
      </w:r>
    </w:p>
    <w:p>
      <w:r>
        <w:t>Le recourant se plaint également de ce que les frais de l'enquête, y compris l'indemnité allouée à K.________, ont été mis à sa charge. Le sort des frais de procédure à l'issue de celle-ci est régi par les art. 422 ss CPP. En principe, ils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En l'occurrence, le procureur a souligné que F.________ avait négligé de se renseigner sur le contexte dans lequel le document litigieux avait été produit par K.________, ce qui lui aurait permis d'éviter de déposer plainte. Cette manière de voir est pertinente et justifie le fait que les frais de première instance aient été mis à la charge du recourant dans le cas particulier.</w:t>
      </w:r>
    </w:p>
    <w:p>
      <w:r>
        <w:rPr>
          <w:b/>
        </w:rPr>
        <w:t>E. 5</w:t>
      </w:r>
    </w:p>
    <w:p>
      <w:r>
        <w:t>En définitive, le recours, manifestement mal fondé, doit être rejeté et l'ordonnance entreprise confirmée. La demande de récusation du procureur Maire doit être rejetée. Les frais de la procédure de recours – constitués en l’espèce de l’émolument d’arrêt, par 660 fr. (art. 20 al. 1 TFJP [Tarif des frais de procédure et indemnités en matière pénale du 28 septembre 2010; RSV 312.03.1]) – seront mis à la charge du recourant, qui succombe (art. 428 al. 1 CPP). Par ces motifs, la Chambre des recours pénale prononce : I. Le recours est rejeté. II. L'ordonnance du 7 mai 2014 est confirmée. III . La demande de récusation formulée le 21 mai 2014 par F.________ à l'encontre du procureur Christian Maire est rejetée. IV. Les frais du présent arrêt, par 660 fr. (six cent soixante francs), sont mis à la charge de F.________. V. Le présent arrêt est exécutoire. Le président :               La greffière : Du L'arrêt qui précède, dont la rédaction a été approuvée à huis clos, est notifié, par l'envoi d'une copie complète, à : - M. F.________, - M. Christophe Tafelmacher, avocat (pour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