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848 vom 12. September 2014</w:t>
      </w:r>
    </w:p>
    <w:p>
      <w:r>
        <w:t>VD Tribunal cantonal, 2014-09-12, FR</w:t>
      </w:r>
    </w:p>
    <w:p>
      <w:r>
        <w:rPr>
          <w:b/>
        </w:rPr>
        <w:t xml:space="preserve">Quelle: </w:t>
      </w:r>
      <w:r>
        <w:t>https://mcp.opencaselaw.ch/entscheid/vd_findinfo_D_cision___2014___848</w:t>
      </w:r>
    </w:p>
    <w:p>
      <w:r>
        <w:t>FR: VD_FINDINFO Décision / 2014 / 848 du 12 septembre 2014</w:t>
      </w:r>
    </w:p>
    <w:p>
      <w:r>
        <w:t>IT: VD_FINDINFO Décision / 2014 / 848 del 12 settembre 2014</w:t>
      </w:r>
    </w:p>
    <w:p>
      <w:pPr>
        <w:pStyle w:val="Heading2"/>
      </w:pPr>
      <w:r>
        <w:t>Regeste</w:t>
      </w:r>
    </w:p>
    <w:p>
      <w:r>
        <w:t>FICTION DE LA NOTIFICATION, DOMICILE CONNU, EMPRISONNEMENT | 354 CPP (CH), 88 al. 1 let. a CPP (CH), 88 al. 4 CPP (CH)</w:t>
      </w:r>
    </w:p>
    <w:p>
      <w:pPr>
        <w:pStyle w:val="Heading2"/>
      </w:pPr>
      <w:r>
        <w:t>Erwägungen</w:t>
      </w:r>
    </w:p>
    <w:p>
      <w:r>
        <w:rPr>
          <w:b/>
        </w:rPr>
        <w:t>E. 1</w:t>
      </w:r>
    </w:p>
    <w:p>
      <w:r>
        <w:t>Le prononcé par lequel un tribunal de première instance, statuant sur la validité de l'opposition formée par le prévenu contre une ordonnance pénale rendue par le Ministère public (cf. art. 356 al. 2 CPP), déclare l'opposition irrecevable, par exemple pour cause de tardiveté, est susceptible de recours selon les art. 393 ss CPP (Gilliéron/Killias, in : Kuhn/Jeanneret (éd.), Commentaire romand, Code de procédure pénale suisse, Bâle 2011, n. 5 ad art. 356 CPP; Riklin, in : Niggli/Heer/Wiprächtiger (éd.), Basler Kommentar, Schweizerische Strafprozess-ordnung, Jugendstrafprozessordnung, Bâle 2011, n. 2 ad art. 356 CPP; CREP 13 juin 2014/407et les références citées). En l’espèce, le recours a été interjeté en temps utile (art. 396 al. 1 CPP), devant l’autorité compétente, par une partie qui a qualité pour recourir (art. 382 al. 1 CPP) et dans les formes prescrites (art. 385 al. 1 CPP). Il est donc recevable.</w:t>
      </w:r>
    </w:p>
    <w:p>
      <w:r>
        <w:rPr>
          <w:b/>
        </w:rPr>
        <w:t>E. 2.1</w:t>
      </w:r>
    </w:p>
    <w:p>
      <w:r>
        <w:t>L’ordonnance pénale est notifiée par écrit aux personnes et aux autorités qui ont qualité pour former opposition (art. 353 al. 3 CPP). Le prévenu a notamment cette qualité (cf. art. 354 al. 1 CPP). La notification d’une ordonnance pénale obéit aux règles générales prévues aux art. 84 à 88 CPP. Selon l’art. 85 al. 2 CPP, la notification des prononcés (cf. art. 80 CPP) se fait en principe par lettre signature ou par tout autre mode de communication impliquant un accusé de réception, notamment par l’entremise de la police. Un prononcé est réputé notifié lorsqu’il a été remis au destinataire, à l’un de ses employés ou à toute personne de plus de seize ans vivant dans le même ménage (art. 85 al. 3 CPP). A défaut d'une adresse postale valable, le code prévoit que les décisions doivent faire l'objet d'une notification dans la Feuille officielle (art. 88 al. 1 CPP). Il existe toutefois une exception à ce principe, à savoir que les ordonnances de classement et les ordonnances pénales sont réputées notifiées même en l’absence d’une publication (art. 88 al. 4 CPP). Cette fiction n'est toutefois valable que si l’une des conditions exigées par l’art. 88 al. 1 CPP est remplie, notamment lorsque le lieu de séjour du destinataire est inconnu et qu'il n’a pas pu être déterminé en dépit des recherches qui peuvent raisonnablement être exigées (let. a) (CREP 3 mai 2012/219 c. 2; JT 2011 III 199; Macaluso/Toffel, in: Kuhn/Jeanneret (éd.), op. cit., nn. 24 s. ad art. 88 CPP; Brüschweiler, in: Donatsch/Hansjakob/Lieber (éd.), Kommentar zur Schweizerischen Strafprozessordnung, 2010, n. 8 ad art. 88 CPP; Arquint, in: Niggli/Heer/Wiprächtiger (éd.), op. cit, n. 11 ad art. 88 CPP). c) En l’espèce, au moment de son audition du 18 juin 2014, X.________ était incarcéré à la prison de la Croisée, d’où il a été transféré pour son audition et où il a été reconduit au terme de celle-ci. Dans son recours du 9 août 2014, le prénommé a ajouté avoir indiqué à la police que le terme de sa peine était prévu pour le 3 février 2015. Bien que cette indication ne ressorte pas du procès-verbal d’audition, il apparaît que la recourant a été détenu à la prison de la Croisée sans discontinuer depuis le mois de janvier 2014. Au moment de notifier son ordonnance pénale – soit moins d’un mois après l’audition du recourant –, le Ministère public de l'arrondissement de Lausanne aurait donc pu facilement vérifier si le prévenu était toujours détenu dans cet établissement carcéral, ce qui ne constituait pas des démarches disproportionnées. Le fait que le recourant n’ait pas de domicile connu en Suisse lorsqu’il n’est pas détenu ne dispensait pas le Procureur de cette simple vérification. Au vu de ces éléments, les conditions de l’art. 88 al. 1 CPP n’étaient manifestement pas remplies et la fiction de notification de l’art. 88 al. 4 CPP n’est pas applicable. En l’absence de notification régulière, le délai pour former opposition court à compter du jour où son destinataire a pu prendre connaissance de l’ordonnance pénale (cf. ATF 139 IV 228 c. 1.3 et les références citées; CREP 20 janvier 2014/32 c. 2c). En l’état, on ignore quand le recourant a eu connaissance de l’ordonnance pénale litigieuse. Le dossier ne renferme en tous les cas aucun élément susceptible d’établir que le recourant en aurait eu connaissance plus de dix jours avant la date de son opposition. Par conséquent, c’est à tort que le Tribunal de police de l’arrondissement de Lausanne a jugé que l’opposition formulée le 9 août 2014 par X.________ était tardive.</w:t>
      </w:r>
    </w:p>
    <w:p>
      <w:r>
        <w:rPr>
          <w:b/>
        </w:rPr>
        <w:t>E. 3</w:t>
      </w:r>
    </w:p>
    <w:p>
      <w:r>
        <w:t>Il résulte de ce qui précède que le recours doit être admis, le prononcé entrepris réformé en ce sens que l’opposition est recevable et le dossier de la cause renvoyé au procureur pour qu’il procède conformément à l’art. 355 CPP. Les frais de la procédure de recours, constitués en l’espèce du seul émolument d'arrêt (art. 422 al. 1 CPP), par 550 fr. (art. 20 al. 1 TFIP [tarif des frais de procédure et indemnités en matière pénale du 28 septembre 2010; RSV 312.03.1]), seront laissés à la charge de l’Etat (art. 423 al. 1 CPP). Par ces motifs, la Chambre des recours pénale prononce : I. Le recours est admis. II. Le prononcé du 14 août 2014 est réformé en ce sens que l’opposition formée le 9 août 2014 par X.________ à l’ordonnance pénale du 10 juillet 2014 est recevable. III. Le dossier de la cause est renvoyé au Procureur de l’arrondissement de Lausanne pour qu’il procède conformément à l’art. 355 CPP. IV. Les frais du présent arrêt, par 550 fr. (cinq cent cinquante francs), sont laissés à la charge de l’Etat. V. Le présent arrêt est exécutoire. Le président :               La greffière : Du L'arrêt qui précède, dont la rédaction a été approuvée à huis clos, est notifié, par l'envoi d'une copie complète, à : - M. X.________, - Ministère public central, et communiqué à : ‑ M. le Président du Tribunal de police de l’arrondissement de Lausanne,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