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845 vom 2. Oktober 2014</w:t>
      </w:r>
    </w:p>
    <w:p>
      <w:r>
        <w:t>VD Tribunal cantonal, 2014-10-02, FR</w:t>
      </w:r>
    </w:p>
    <w:p>
      <w:r>
        <w:rPr>
          <w:b/>
        </w:rPr>
        <w:t xml:space="preserve">Quelle: </w:t>
      </w:r>
      <w:r>
        <w:t>https://mcp.opencaselaw.ch/entscheid/vd_findinfo_D_cision___2014___845</w:t>
      </w:r>
    </w:p>
    <w:p>
      <w:r>
        <w:t>FR: VD_FINDINFO Décision / 2014 / 845 du 2 octobre 2014</w:t>
      </w:r>
    </w:p>
    <w:p>
      <w:r>
        <w:t>IT: VD_FINDINFO Décision / 2014 / 845 del 2 ottobre 2014</w:t>
      </w:r>
    </w:p>
    <w:p>
      <w:pPr>
        <w:pStyle w:val="Heading2"/>
      </w:pPr>
      <w:r>
        <w:t>Regeste</w:t>
      </w:r>
    </w:p>
    <w:p>
      <w:r>
        <w:t>DÉTENTION PROVISOIRE, PROLONGATION, RISQUE DE COLLUSION, PROPORTIONNALITÉ | 221 al. 1 let. b CPP (CH), 227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 risque de collusion (art. 221 al. 1 let. b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w:t>
      </w:r>
    </w:p>
    <w:p>
      <w:r>
        <w:rPr>
          <w:b/>
        </w:rPr>
        <w:t>E. 2.2</w:t>
      </w:r>
    </w:p>
    <w:p>
      <w:r>
        <w:t>En ce qui concerne le risque de collusion,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2.3</w:t>
      </w:r>
    </w:p>
    <w:p>
      <w:r>
        <w:t>En l’espèce, il existe des présomptions suffisantes de culpabilité à la charge du recourant, qui ne les conteste à juste titre pas, ayant d’emblée admis les faits reprochés (cf. PV aud. par la police du 16 juin 2014, p. 2). A l’instar du Tribunal des mesures de contrainte, il y a lieu de considérer que le risque de collusion est concret. En effet, à ce stade de l'enquête, il reste des mesures d'instruction à mener afin de vérifier si les déclarations du prévenu concernant l’utilisation de l’argent détourné sont conformes à la réalité. Dans ce sens, la Procureure a indiqué à l’appui de sa requête du 10 septembre 2014 que des investigations étaient encore en cours, notamment pour identifier les deux comparses dont V.________ avait mentionné les noms. De plus, les explications fournies par le prévenu relatives à la destination des 290'000 fr. détournés ne sont a priori guère convaincantes. Lors de sa dernière audition le 3 septembre 2014, il s’est borné à confirmer avoir utilisé 50'000 fr. en frais de voyage, 150'000 fr. en vue de l’achat, par «  [...]» à Milan, de diamants, et 100'000 fr. pour l’achat de devises par un certain «  [...] », dans un village au Kosovo ; il prétend en revanche ne pas se souvenir ou ne pas pouvoir expliquer certains éléments qui permettraient d’identifier les deux prénommés, alors même qu’il leur aurait confié d’importantes sommes d’argent (cf. PV aud. du 3 septembre 2014, pp. 2-3 où le prévenu a expliqué que le prénommé [...] l’avait contacté le 11 juin 2013 sur son téléphone portable, mais qu’il était toutefois incapable, sur la présentation par la police de la liste des appels entrants et sortants pour la période indiquée, d’identifier le numéro de téléphone de ce dernier). Par conséquent, au vu de ce qui précède, des investigations policières apparaissent nécessaires, en particulier afin de localiser le produit de l’infraction et d’établir l’identité des éventuels comparses du prévenu, et l'on peut raisonnablement craindre que le recourant ne prenne certaines mesures de nature à entraver la manifestation de la vérité s'il était remis en liberté. Le risque de collusion, avéré, s'oppose donc en l’état à la levée de la détention provisoire de V.________.</w:t>
      </w:r>
    </w:p>
    <w:p>
      <w:r>
        <w:rPr>
          <w:b/>
        </w:rPr>
        <w:t>E. 3</w:t>
      </w:r>
    </w:p>
    <w:p>
      <w:r>
        <w:t>Le recourant fait valoir que la prolongation de sa détention provisoire serait disproportionnée. Il soutient qu’aucune mesure d’instruction par la suite n’aurait été annoncée par la Procureure pour légitimer une telle prolongation. Il invoque en outre que des mesures de substitution afin de limiter sa liberté de mouvement pourraient être prononcées en lieu et place de son maintien en détention provisoire, telles que l’assignation à résidence, l’interdiction d’entretenir des relations avec certaines personnes ou la saisie de documents d’identité.</w:t>
      </w:r>
    </w:p>
    <w:p>
      <w:r>
        <w:rPr>
          <w:b/>
        </w:rPr>
        <w:t>E. 3.1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Ces mesures sont l'émanation directe du principe de la proportionnalité, consacré par l'art. 197 al. 1 let. c CPP, en vertu duquel le maintien en détention pour les besoins de l'instruction présente l' ultima ratio .</w:t>
      </w:r>
    </w:p>
    <w:p>
      <w:r>
        <w:rPr>
          <w:b/>
        </w:rPr>
        <w:t>E. 3.2</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3.3</w:t>
      </w:r>
    </w:p>
    <w:p>
      <w:r>
        <w:t>En l’espèce, les mesures avancées par le recourant n’apparaissent pas pertinentes au regard du risque de collusion retenu. Elles ne sont en effet pas aptes à parer efficacement ce risque, dans la mesure, entre autres, où elles ne suffiraient pas à empêcher le prévenu de prendre contact avec ses complices, à ce jour non identifiés, ou de transférer d’éventuels montants de l’argent détourné encore à sa disposition. C'est donc à bon droit que le Tribunal des mesures de contrainte a estimé qu’aucune mesure de substitution n’entrait en ligne de compte, de sorte que le prévenu devait rester en détention. Ensuite, vu le stade encore relativement précoce de l’enquête et dès lors que des investigations sont manifestement en cours, contrairement à ce que prétend le recourant, une prolongation de trois mois de la détention provisoire n’est pas excessive (art. 227 al. 7 CPP) dans les circonstances de l’espèce. Elle se justifie ainsi du point de vue du principe de la proportionnalité. Enfin, le recourant est détenu depuis le 16 juin 2014, soit depuis un peu plus de 3 mois. Compte tenu des actes qui lui sont reprochés, le recourant est exposé au prononcé d’une peine privative de liberté d’une durée nettement supérieure à celle de la détention provisoire ordonnée. Le principe de la proportionnalité demeure donc respecté.</w:t>
      </w:r>
    </w:p>
    <w:p>
      <w:r>
        <w:rPr>
          <w:b/>
        </w:rPr>
        <w:t>E. 4</w:t>
      </w:r>
    </w:p>
    <w:p>
      <w:r>
        <w:t>En définitive, le recours, manifestement mal fondé, doit être rejeté sans autre échange d’écritures (art. 390 al. 2 CPP) et l'ordonnance du 16 septembre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du recourant (art. 422 al. 1 et 2 let. a CPP), fixés à 540 fr. plus la TVA par 43 fr. 20, soit à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septembre 2014 est confirmée. III. L'indemnité allouée au défenseur d'office de V.________ est fixée à 583 fr. 20 (cinq cent huitante-trois francs et vingt centimes). IV. Les frais du présent arrêt, par 770 fr. (sept cent septante francs), ainsi que l'indemnité due au défenseur d'office de V.________ selon le chiffre III ci-dessus, sont mis à la charge de ce dernier. V. Le remboursement à l'Etat de l'indemnité allouée au chiffre III ci-dessus sera exigible pour autant que la situation de V.________ se soit améliorée. VI. Le présent arrêt est exécutoire. Le président : La greffière : Du L'arrêt qui précède, dont la rédaction a été approuvée à huis clos, est notifié, par l'envoi d'une copie complète, à : - Mme Gloria Capt, avocate (pour V.________), - Ministère public central ; et communiqué à : - Mme la Présidente du Tribunal des mesures de contraintes,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