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831 vom 27. Mai 2014</w:t>
      </w:r>
    </w:p>
    <w:p>
      <w:r>
        <w:t>VD Tribunal cantonal, 2014-05-27, FR</w:t>
      </w:r>
    </w:p>
    <w:p>
      <w:r>
        <w:rPr>
          <w:b/>
        </w:rPr>
        <w:t xml:space="preserve">Quelle: </w:t>
      </w:r>
      <w:r>
        <w:t>https://mcp.opencaselaw.ch/entscheid/vd_findinfo_D_cision___2014___831</w:t>
      </w:r>
    </w:p>
    <w:p>
      <w:r>
        <w:t>FR: VD_FINDINFO Décision / 2014 / 831 du 27 mai 2014</w:t>
      </w:r>
    </w:p>
    <w:p>
      <w:r>
        <w:t>IT: VD_FINDINFO Décision / 2014 / 831 del 27 maggio 2014</w:t>
      </w:r>
    </w:p>
    <w:p>
      <w:pPr>
        <w:pStyle w:val="Heading2"/>
      </w:pPr>
      <w:r>
        <w:t>Regeste</w:t>
      </w:r>
    </w:p>
    <w:p>
      <w:r>
        <w:t>CLASSEMENT DE LA PROCÉDURE, DÉNONCIATION CALOMNIEUSE | 319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w:t>
      </w:r>
    </w:p>
    <w:p>
      <w:r>
        <w:t>Le recourant soutient que l'enquête aurait révélé des indices d'accusations malveillantes de la part de son épouse, qui ressortiraient en particulier des constatations du Tribunal des mesures de contrainte. Ces accusations auraient été à l'origine de la mise en détention provisoire de quinze jours du recourant, ce qui lui aurait fait perdre son travail et son logement.</w:t>
      </w:r>
    </w:p>
    <w:p>
      <w:r>
        <w:rPr>
          <w:b/>
        </w:rPr>
        <w:t>E. 2.1</w:t>
      </w:r>
    </w:p>
    <w:p>
      <w:r>
        <w:t>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ATF 138 IV 186; TF 1B_272/2011 du 22 mars 2012 c. 3.1.1).</w:t>
      </w:r>
    </w:p>
    <w:p>
      <w:r>
        <w:rPr>
          <w:b/>
        </w:rPr>
        <w:t>E. 2.2</w:t>
      </w:r>
    </w:p>
    <w:p>
      <w:r>
        <w:t>En l'espèce, dans son ordonnance de refus de prolongation de la détention provisoire du 30 mars 2012, le Tribunal des mesures de contrainte a certes considéré que les soupçons n'étaient pas suffisants s'agissant des menaces graves alléguées par B.G.________, l’enfant C.G.________ pouvant être pris malgré lui dans un conflit de loyauté. Cependant, il n'en demeure pas moins qu'on ne peut exclure que le recourant se soit livré à de tels agissements. Il a d’ailleurs été renvoyé en jugement, par acte d'accusation du 7 mai 2014, pour incendie intentionnel, violation grave des règles de la circulation, violation simple des règles de la circulation, ivresse au volant qualifiée, tentative de dérobade aux mesures visant à déterminer l'incapacité de conduire, violation des devoirs en cas d'accident et infraction à la Loi fédérale sur les stupéfiants (LStup; RS 812.121). En outre, le recourant se contente de se référer à l’ordonnance du Tribunal des mesures de contrainte et n'apporte aucun élément de preuve concret susceptible d’établir que son épouse l'aurait faussement dénoncé à l'autorité. Au vu des éléments qui précèdent, un renvoi en jugement de B.G.________ aboutirait très probablement à un acquittement, qui apparaît dans tous les cas nettement plus vraisemblable qu’une condamnation. Le classement de la procédure dirigée contre cette dernière pour dénonciation calomnieuse échappe dès lors à la critique.</w:t>
      </w:r>
    </w:p>
    <w:p>
      <w:r>
        <w:rPr>
          <w:b/>
        </w:rPr>
        <w:t>E. 3</w:t>
      </w:r>
    </w:p>
    <w:p>
      <w:r>
        <w:t>En définitive, le recours, manifestement mal fondé, doit être rejeté sans autres échanges d’écritures (art. 390 al. 2 CPP). A.G.________ a un défenseur d'office en sa qualité de prévenu et non un conseil juridique gratuit en tant que plaignant. Le recours apparaissant d’emblée dénué de chances de succès, sa requête d'assistance judiciaire gratuite doit être rejetée (CREP 28 juillet 2014/516). Les frais de la procédure de recours, constitués en l’espèce du seul émolument d'arrêt (art. 422 al. 1 CPP), par 550 fr. (art. 20 al. 1 TFIP [Tarif des frais de procédure et indemnités en matière pénale du 28 septembre 2010; RSV 312.03.1]), seront mis à la charge de A.G.________, qui succombe (art. 428 al. 1 CPP). Par ces motifs, la Chambre des recours pénale prononce : I. Le recours est rejeté. II. L'ordonnance du 7 mai 2014 est confirmée. III. La requête d'assistance judiciaire gratuite est rejetée. IV. Les frais du présent arrêt, par 660 fr. (six cent soixante francs), sont mis à la charge de A.G.________. V. Le présent arrêt est exécutoire. Le président :               La greffière : Du L'arrêt qui précède, dont la rédaction a été approuvée à huis clos, est notifié, par l'envoi d'une copie complète, à : - M. Renaud Lattion, avocat (pour A.G.________), - M. Franck-Olivier Karlen, avocat (pour B.G.________), - Ministère public central, et communiqué à :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