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821 vom 9. September 2014</w:t>
      </w:r>
    </w:p>
    <w:p>
      <w:r>
        <w:t>VD Tribunal cantonal, 2014-09-09, FR</w:t>
      </w:r>
    </w:p>
    <w:p>
      <w:r>
        <w:rPr>
          <w:b/>
        </w:rPr>
        <w:t xml:space="preserve">Quelle: </w:t>
      </w:r>
      <w:r>
        <w:t>https://mcp.opencaselaw.ch/entscheid/vd_findinfo_D_cision___2014___821</w:t>
      </w:r>
    </w:p>
    <w:p>
      <w:r>
        <w:t>FR: VD_FINDINFO Décision / 2014 / 821 du 9 septembre 2014</w:t>
      </w:r>
    </w:p>
    <w:p>
      <w:r>
        <w:t>IT: VD_FINDINFO Décision / 2014 / 821 del 9 settembre 2014</w:t>
      </w:r>
    </w:p>
    <w:p>
      <w:pPr>
        <w:pStyle w:val="Heading2"/>
      </w:pPr>
      <w:r>
        <w:t>Regeste</w:t>
      </w:r>
    </w:p>
    <w:p>
      <w:r>
        <w:t>FAUX TÉMOIGNAGE, CLASSEMENT DE LA PROCÉDURE | 319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2.2</w:t>
      </w:r>
    </w:p>
    <w:p>
      <w:r>
        <w:t>Aux termes de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w:t>
      </w:r>
    </w:p>
    <w:p>
      <w:r>
        <w:rPr>
          <w:b/>
        </w:rPr>
        <w:t>E. 2.3</w:t>
      </w:r>
    </w:p>
    <w:p>
      <w:r>
        <w:t>En l’espèce, contrairement à ce que laisse entendre le prévenu, le recourant a un intérêt évident à démontrer le caractère fictif du prêt. Il ressort des pièces produites par V.________ qu’il existe trois contrats de prêts entre ce dernier et feu C.________ et que les montants de ces prêts apparaissent avoir bel et bien été versés (P. 4 ss du bordereau de pièces produit par l’intimé le 21 juillet 2014). Néanmoins, il n’apparaît pas que ces prêts ont été faits à titre personnel. De plus, il n’est pas facile de déterminer à qui ces sommes ont été versées. Selon le rapport établi par la fiduciaire W.________SA, ces sommes ont, en partie tout au moins, été versées sur un compte nommé [...] (cf. P. 3 du bordereau de pièces produit par l’intimé le 21 juillet 2014). Un montant de 479'107 dollars américains a été versé depuis ce compte à la société H.________I et un montant de 2'190'286 dollars américains à la société H.________II. Il existe dès lors un doute quant à la dette réelle de la société H.________I. Un autre montant de 1'210'998 euros aurait été versé sur le compte de la société W.________ auprès de la banque [...] à Paris (cf. P. 12 du bordereau de pièces produit par l’intimé le 21 juillet 2014) et on ignore le rapport entre ce compte, feu C.________ et la société H.________I. En outre, il apparaît que le mobilier du château sis à [...] a été remis en nantissement au prévenu en garantie de son prêt. Ce château, propriété de la société H.________II, a été vendu le 31 juillet 2008 sans son mobilier (P. 7 du bordereau de pièces produit par l’intimé le 21 juillet 2014). Le prévenu était au courant de ce fait puisqu’il représentait la société H.________II lors de cette vente. Dans la mesure où les contrats de prêt prévoyaient un remboursement dans les mois qui suivaient la vente du château, on comprend dès lors mal pourquoi le prévenu aurait laissé vendre le mobilier et attendu plusieurs années avant de demander le remboursement des prêts. Sur le vu de ce qui précède et même si le plaignant semble chercher par cette plainte à affermir sa position sur le plan civil, il existe de trop nombreuses zones d’ombre dans cette affaire relativement complexe pour pouvoir écarter une éventuelle mise en accusation. Le Ministère public devra dans ces circonstances procéder à une instruction complémentaire. Il devra en particulier requérir du prévenu la production de ses déclarations fiscales pour les années 2006 à 2008 ainsi que se renseigner sur le remboursement du prêt hypothécaire d’un montant de 2'343'141 euros. Cela fait, il faudra examiner si d’éventuelles infractions fiscales ou de droit commun entrent en considération. Enfin, l’hypothèse d’une violation à la LBA par le prévenu, en sa qualité d’intermédiaire financier, devra également être instruite.</w:t>
      </w:r>
    </w:p>
    <w:p>
      <w:r>
        <w:rPr>
          <w:b/>
        </w:rPr>
        <w:t>E. 3</w:t>
      </w:r>
    </w:p>
    <w:p>
      <w:r>
        <w:t>En définitive, le recours doit être admis et l'ordonnance de classement du 15 avril 2014 annulée, le dossier de la cause étant renvoyé au Ministère public de l'arrondissement de La Côte pour qu'il procède dans le sens des considérants. Vu l’issue du recours, les frais de la procédure de recours, constitués en l’espèce du seul émolument d'arrêt, par 880 fr. (art. 20 al. 1 TFIP [Tarif des frais de procédure et indemnités en matière pénale du 28 septembre 2010; RSV 312.03.1]), seront mis à la charge de l’intimé, qui succombe dès lors qu’il a conclu au rejet du recours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15 avril 2014 est annulée et le dossier de la cause renvoyé au Ministère public de l'arrondissement de La Côte pour qu'il procède dans le sens des considérants. III. Les frais d'arrêt, par 880 fr. (huit cent huitante francs), sont mis à la charge de V.________. IV. Le présent arrêt est exécutoire. Le président :               La greffière : Du L'arrêt qui précède, dont la rédaction a été approuvée à huis clos, est notifié, par l'envoi d'une copie complète, à : - Mme Susannah Maas Antamoro De Cespedes, avocate (pour Q.________), - M. Gérald Page, avocat (pour 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