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82 vom 4. Dezember 2006</w:t>
      </w:r>
    </w:p>
    <w:p>
      <w:r>
        <w:t>VD Tribunal cantonal, 2006-12-04, FR</w:t>
      </w:r>
    </w:p>
    <w:p>
      <w:r>
        <w:rPr>
          <w:b/>
        </w:rPr>
        <w:t xml:space="preserve">Quelle: </w:t>
      </w:r>
      <w:r>
        <w:t>https://mcp.opencaselaw.ch/entscheid/vd_findinfo_D_cision___2014___82</w:t>
      </w:r>
    </w:p>
    <w:p>
      <w:r>
        <w:t>FR: VD_FINDINFO Décision / 2014 / 82 du 4 décembre 2006</w:t>
      </w:r>
    </w:p>
    <w:p>
      <w:r>
        <w:t>IT: VD_FINDINFO Décision / 2014 / 82 del 4 dicembre 2006</w:t>
      </w:r>
    </w:p>
    <w:p>
      <w:pPr>
        <w:pStyle w:val="Heading2"/>
      </w:pPr>
      <w:r>
        <w:t>Regeste</w:t>
      </w:r>
    </w:p>
    <w:p>
      <w:r>
        <w:t>DEMANDE ADRESSÉE À L'AUTORITÉ, RÉVISION{DÉCISION}, DÉCISION D'IRRECEVABILITÉ | 410 al. 1 let. a CPP (CH), 412 al. 2 CPP (CH)</w:t>
      </w:r>
    </w:p>
    <w:p>
      <w:pPr>
        <w:pStyle w:val="Heading2"/>
      </w:pPr>
      <w:r>
        <w:t>Erwägungen</w:t>
      </w:r>
    </w:p>
    <w:p>
      <w:r>
        <w:rPr>
          <w:b/>
        </w:rPr>
        <w:t>E. 1.1</w:t>
      </w:r>
    </w:p>
    <w:p>
      <w:r>
        <w:t>La demande de révision présentée par C.________ est postérieure à l'entrée en vigueur du Code de procédure pénale suisse du 5 octobre 2007 (CPP ; RS 312.0). Partant, les règles de compétence et de procédure des art. 410 ss CPP sont applicables (Pfister-Liechti, in : Kuhn/Jeanneret [éd.], Commentaire romand, Code de procédure pénale suisse, 2011, n. 9 ad art. 451 CPP ; TF 6B_41/2012 du 28 juin 2012 c. 1.1). Les motifs de révision pertinents sont en revanche ceux prévus par le droit applicable au moment où la décision, dont la révision est demandée, a été rendue ; cette réserve est toutefois sans portée s'agissant d'une révision en faveur du condamné, le motif de révision prévu à l'art. 410 al. 1 let. a CPP correspondant à celui de l'art. 385 du Code pénal suisse du 21 décembre 1937 ([CP ; RS 311.0] ; TF 6B_41/2012 du 12 septembre 2012 c. 1.1 et les références citées ; TF 6B_310/2011 du 20 juin 2011 c. 1.1).</w:t>
      </w:r>
    </w:p>
    <w:p>
      <w:r>
        <w:rPr>
          <w:b/>
        </w:rPr>
        <w:t>E. 1.2</w:t>
      </w:r>
    </w:p>
    <w:p>
      <w:r>
        <w:t>Aux termes l'art. 410 al. 1 let. a CPP,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La qualité de partie (art. 382 al. 1 CPP) pour une demande de révision est reconnue au prévenu, ainsi qu’à toute personne qui a un intérêt juridiquement protégé à l’annulation ou la modification de la décision (Rémy in : Kuhn/Jeanneret [éd.], op. cit., n. 7 ad art. 410 CPP ; Fingerhuth in : Donatsch/Hansjakob/Lieber [éd.], Kommentar zur Schweizerischen Strafprozessordnung, 2010, n. 47 ad. art. 410 CPP). Des faits ou moyens de preuve sont nouveaux lorsqu'ils n'ont pas été soumis, sous quelque forme que ce soit, à l'appréciation du tribunal, soit parce qu'ils ne ressortaient pas du dossier ou des débats, soit parce qu'ils avaient été négligés par le premier juge. Ils sont sérieux lorsqu'ils sont propres à ébranler les constatations de fait sur lesquelles la condamnation est fondée, de manière que l'état de fait ainsi modifié rende vraisemblable une condamnation sensiblement moins sévère ou permette de conclure à l'inexistence de l'une des infractions retenues, que cette libération entraîne ou non une réduction de la peine (TF 6B_310/2011 du 20 juin 2011 c. 1.2 ; ATF 130 IV 72 c. 1; 116 IV 353). Pour être valides en la forme, les demandes de révision doivent être motivées et adressées par écrit à la juridiction d’appel, les motifs de révision devant être exposés et justifiés dans la demande (art. 411 al. 1 CPP ; Piquerez, Traité de procédure pénale suisse, 3 e édition, Schulthess § 2011, n. 2092, p. 679 et Niggli et Wiprächtiger, Basler Kommentar, Schweizerische Strafprozessordnung Jungenstrafprozessordnung, Bâle 2011, n. 6 ad art. 411 CPP, p. 2731).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 3.3; TF 6B_415/2012 du 14 décembre 2012 c. 1.1 et les références citées).</w:t>
      </w:r>
    </w:p>
    <w:p>
      <w:r>
        <w:rPr>
          <w:b/>
        </w:rPr>
        <w:t>E. 1.3</w:t>
      </w:r>
    </w:p>
    <w:p>
      <w:r>
        <w:t>En l’espèce, les faits invoqués par le requérant pour fonder sa demande de révision n’ont aucun rapport avec sa condamnation pénale, de sorte qu’on ne saurait les considérer propres à rendre vraisemblable une telle requête. A cet égard, les faits incriminés dans le jugement du 4 décembre 2006 concernent des violences commises par C.________ à l’encontre de ses deux fils. On ne voit donc pas en quoi le viol allégué de son ex-femme, laquelle se serait, selon les dires de l’intéressé, présenté aux autorités sous deux fausses identités, est pertinent dans ce cadre. En outre, c’est à tort qu’il prétend que le rapport médical du CHUV ne serait pas au dossier (cf. P. 7/6). Force est ainsi de constater que le requérant n’invoque aucun fait sérieux susceptible d’aboutir à un autre constat que celui des premiers juges, ses allégations étant dans l’ensemble informes.</w:t>
      </w:r>
    </w:p>
    <w:p>
      <w:r>
        <w:rPr>
          <w:b/>
        </w:rPr>
        <w:t>E. 2</w:t>
      </w:r>
    </w:p>
    <w:p>
      <w:r>
        <w:t>Il y a dès lors lieu de refuser d’entrer en matière au sens de l’art. 412 al. 2 CPP, la demande de révision de C.________ étant irrecevable. La présente décision doit être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