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816 vom 15. September 2014</w:t>
      </w:r>
    </w:p>
    <w:p>
      <w:r>
        <w:t>VD Tribunal cantonal, 2014-09-15, FR</w:t>
      </w:r>
    </w:p>
    <w:p>
      <w:r>
        <w:rPr>
          <w:b/>
        </w:rPr>
        <w:t xml:space="preserve">Quelle: </w:t>
      </w:r>
      <w:r>
        <w:t>https://mcp.opencaselaw.ch/entscheid/vd_findinfo_D_cision___2014___816</w:t>
      </w:r>
    </w:p>
    <w:p>
      <w:r>
        <w:t>FR: VD_FINDINFO Décision / 2014 / 816 du 15 septembre 2014</w:t>
      </w:r>
    </w:p>
    <w:p>
      <w:r>
        <w:t>IT: VD_FINDINFO Décision / 2014 / 816 del 15 settembre 2014</w:t>
      </w:r>
    </w:p>
    <w:p>
      <w:pPr>
        <w:pStyle w:val="Heading2"/>
      </w:pPr>
      <w:r>
        <w:t>Regeste</w:t>
      </w:r>
    </w:p>
    <w:p>
      <w:r>
        <w:t>CLASSEMENT DE LA PROCÉDURE | 310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2.1). b) En l’espèce, le recourant reproche à P.________ de lui avoir dérobé une tablette d’une valeur de 92 fr. 65. Le vol d’importance mineur réprimé aux termes des art. 139 ch. 1 et 172 ter CP (Code pénal suisse du 21 décembre 1937 ; RS 311.0) ne se poursuit que sur plainte. Selon l’art. 31 CP, le droit de porter plainte se prescrit par trois mois. Le délai court du jour où l'ayant droit a connu l'auteur de l'infraction. Il résulte en l’occurrence d’un document qu’il a remis à la police qu’en date du 15 octobre 2013, le recourant avait déjà l’intention de déposer plainte pour les faits qu’il expose aujourd’hui (P. 4/2). Sa plainte est donc tardive, ce qu’il ne remet au demeurant pas en cause. Le recourant indique simplement « regretter » qu’aucune suite ne lui soit donnée. Dans la mesure où il n’apporte aucun élément nouveau ni ne soulève de moyen à l’encontre de l’ordonnance qu’il attaque, son recours doit être rejeté. c) Le recourant s’enquiert par ailleurs des démarches qu’il doit entreprendre pour obtenir le remboursement d’une somme de 470 fr. qu’il aurait prêtée à P.________. Il n’appartient toutefois pas aux autorités judiciaires de dispenser de tels conseils qui peuvent être obtenus par exemple auprès de la permanence juridique de l’Ordre des avocats vaudois.</w:t>
      </w:r>
    </w:p>
    <w:p>
      <w:r>
        <w:rPr>
          <w:b/>
        </w:rPr>
        <w:t>E. 3</w:t>
      </w:r>
    </w:p>
    <w:p>
      <w:r>
        <w:t>En définitive, le recours, manifestement mal fondé, doit être rejeté sans autres échanges d’écritures (art. 390 al. 2 CPP) et l’ordonnance entreprise confirmée. La requête d’U.________ tendant à l’octroi de l’assistance judiciaire gratuite pour la procédure de recours doit être rejetée, dès lors que le recours apparaissait d’emblée dénué de chances de succès, pour les motifs exposés plus haut (art. 136 al. 1 let. b CPP ; CREP 30 juillet 2014/525 c. 3 ; CREP 17 janvier 2014/16 c. 3). Les frais de la procédure de recours, constitués en l’espèce du seul émolument d’arrêt (art. 422 al. 1 CPP), par 440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28 juillet 2014 est confirmée. III. La requête d’assistance judiciaire gratuite pour la procédure de recours est rejetée. IV. Les frais d’arrêt, par 440 fr. (quatre cent quarante francs), sont mis à la charge du recourant. V. Le présent arrêt est exécutoire. Le président :               La greffière : Du L'arrêt qui précède, dont la rédaction a été approuvée à huis clos, est notifié, par l'envoi d'une copie complète, à : - U.________, - P.________, - Ministère public central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