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812 vom 18. August 2014</w:t>
      </w:r>
    </w:p>
    <w:p>
      <w:r>
        <w:t>VD Tribunal cantonal, 2014-08-18, FR</w:t>
      </w:r>
    </w:p>
    <w:p>
      <w:r>
        <w:rPr>
          <w:b/>
        </w:rPr>
        <w:t xml:space="preserve">Quelle: </w:t>
      </w:r>
      <w:r>
        <w:t>https://mcp.opencaselaw.ch/entscheid/vd_findinfo_D_cision___2014___812</w:t>
      </w:r>
    </w:p>
    <w:p>
      <w:r>
        <w:t>FR: VD_FINDINFO Décision / 2014 / 812 du 18 août 2014</w:t>
      </w:r>
    </w:p>
    <w:p>
      <w:r>
        <w:t>IT: VD_FINDINFO Décision / 2014 / 812 del 18 agosto 2014</w:t>
      </w:r>
    </w:p>
    <w:p>
      <w:pPr>
        <w:pStyle w:val="Heading2"/>
      </w:pPr>
      <w:r>
        <w:t>Regeste</w:t>
      </w:r>
    </w:p>
    <w:p>
      <w:r>
        <w:t>RELIEF | 368 al. 3 CPP (CH), 368 CPP (CH), 369 al. 1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 Kuhn/Jeanneret (éd.), Commentaire romand, Code de procédure pénale suisse, Bâle 2011, n. 12 ad art. 368 CPP et  n. 6 ad art. 369 CPP ; Maurer, in : Niggli/Heer/Wiprächtiger (éd.), Basler Kommentar, Schweizerische Strafprozessordnung, Jugendstraf-prozessordnung, Bâle 2011, n. 16 ad art. 368 CPP et n. 1 ad art. 369 CPP ; Stephenson/Thiriet, in : Niggli/Heer/Wiprächtiger (éd.), Basler Kommentar, Schweizerische Strafprozess-ordnung, Jugendstrafprozessordnung, Bâle 2011, n. 12 ad art. 393 CPP; Summers, in : Donatsch/Hansjakob/Lieber (éd.), Kommentar zur Schweizerischen Strafprozess-ordnung, 2010, n. 17 ad art. 368 CPP et n. 4 ad art. 369 CPP; CREP 5 juillet 2012/388, CREP 8 juin 2011/201 c. 1, CREP 11 mai 2011/148 c. 1 et CREP 12 avril 2011/97 c. 1). Ce recours s’exerce auprès de l’autorité de recours (art. 20 al. 1 CPP), qui, dans le canton de Vaud, est la Chambre des recours pénale du Tribunal cantonal (art. 13 LVCPP [loi vaudoise d’introduction du Code de procédure pénale suisse; RSV 312.01]; art. 80 LOJV [loi vaudoise d’organisation judiciaire; RSV 173.01]). Le recours doit être adressé par écrit, dans un délai de dix jours dès la notification de la décision attaquée (cf. art. 384 let. b CPP), à l’autorité de recours (art. 396 al. 1 CPP).</w:t>
      </w:r>
    </w:p>
    <w:p>
      <w:r>
        <w:rPr>
          <w:b/>
        </w:rPr>
        <w:t>E. 1.2</w:t>
      </w:r>
    </w:p>
    <w:p>
      <w:r>
        <w:t>En l’espèce, interjeté dans le délai légal auprès de l’autorité compétente par le condamné par défaut, qui a la qualité pour recourir (cf. art. 382 al. 1 CPP), le recours est recevable.</w:t>
      </w:r>
    </w:p>
    <w:p>
      <w:r>
        <w:rPr>
          <w:b/>
        </w:rPr>
        <w:t>E. 2.1</w:t>
      </w:r>
    </w:p>
    <w:p>
      <w:r>
        <w:t>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Summers, op. cit., n. 3 ad art. 369 CPP; cf. Thalmann, op. cit., n. 4 ad art. 369 CPP; CREP 5 juillet 2013/388 c. 2b, CREP 6 mai 2011/138 c. 2c et CREP 12 avril 2011/97 c. 2c). En tous les cas, la décision par laquelle le tribunal rejette la demande de nouveau jugement peut être attaquée par la voie du recours selon les art. 393 ss CPP (cf. c. 1 supra).</w:t>
      </w:r>
    </w:p>
    <w:p>
      <w:r>
        <w:rPr>
          <w:b/>
        </w:rPr>
        <w:t>E. 2.2</w:t>
      </w:r>
    </w:p>
    <w:p>
      <w:r>
        <w:t>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 er mai 2006, in: SJ 2006 I 450, c. 2.2 et les arrêts cités). En revanche, une absence aux débats ne saurait être valablement excusée si elle résulte d’une négligence coupable; est ainsi fautive l’absence de celui qui se trouve à l’étranger alors qu’il sait qu’il sera prochainement convoqué à une audience de jugement, car il fait preuve de négligence coupable en omettant de s’organiser pour assurer sa présence à l’audience (CREP 11 mars 2014/184 , CREP 27 septembre 2013/566; Thalmann, op. cit., n. 20 ad art. 368 CPP et les arrêts cités).</w:t>
      </w:r>
    </w:p>
    <w:p>
      <w:r>
        <w:rPr>
          <w:b/>
        </w:rPr>
        <w:t>E. 2.3</w:t>
      </w:r>
    </w:p>
    <w:p>
      <w:r>
        <w:t>En l’espèce, le recourant soutient que l’adresse de Clarens qu’il avait donnée ne serait qu’une adresse postale constituée auprès d’un ami. Il ressort en substance des explications du recourant que comme cet ami serait fréquemment absent de son domicile, ce serait l’épouse de cet ami, qui ne parlerait pratiquement pas le français, qui lèverait en général le courrier et que celle-ci n’aurait pas été en mesure d’avertir le recourant de l’arrivée de plis lui étant destinés.</w:t>
      </w:r>
    </w:p>
    <w:p>
      <w:r>
        <w:rPr>
          <w:b/>
        </w:rPr>
        <w:t>E. 2.4</w:t>
      </w:r>
    </w:p>
    <w:p>
      <w:r>
        <w:t>L’adresse à laquelle a été envoyée la citation à comparaître à l’audience du 11 février 2014, à la suite de laquelle a été rendu le jugement par défaut, est celle que le recourant avait lui-même donnée au Ministère public, après que ce dernier avait rencontré des difficultés pour l’atteindre. Il avait en outre confirmé cette adresse lors de l’audience de conciliation du 7 décembre 2012, lors de laquelle son attention avait été expressément attirée sur le fait qu’il devait rester à disposition des autorités de poursuite pénale et immédiatement communiquer à celles-ci tout changement d’adresse. Lors des débats tenus à la suite de la demande de nouveau jugement, le recourant a admis avoir confirmé l’adresse qu’il avait donnée et le fait qu’il savait qu’une procédure pénale était ouverte à son encontre. Au vu de l’ensemble des éléments qui précèdent, force est de constater qu’alors qu’il lui appartenait de le faire, le recourant n’a pris aucune mesure sérieuse pour s’assurer que les plis qui lui étaient envoyés lui parviendraient. Comme il résulte d’une négligence coupable du recourant, le défaut de ce dernier à l’audience du 11 février 2014 n’est pas excusable et c’est donc à raison que le Tribunal de police a rejeté la demande de nouveau jugement.</w:t>
      </w:r>
    </w:p>
    <w:p>
      <w:r>
        <w:rPr>
          <w:b/>
        </w:rPr>
        <w:t>E. 3</w:t>
      </w:r>
    </w:p>
    <w:p>
      <w:r>
        <w:t>En définitive, le recours doit être rejeté sans autre échange d’écritures (art. 390 al. 2 CPP) et l’ordonnance du 4 juin 2014 confirmée. La requête tendant à la désignation d'un défenseur d'office pour la procédure de recours doit également être rejetée, car le recours était d’emblée dénué de chances de succès (CREP 28 janvier 2013/37 et les références citées). Les frais de la procédure de recours, constitués en l’espèce uniquement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4 juin 2014 est confirmé. III. La requête de désignation d'un défenseur d'office pour la procédure de recours est rejetée. IV. Les frais de la procédure de recours, par 770 fr. (sept cent septante francs), sont mis à la charge de M.________. V. Le présent arrêt est exécutoire. Le président :               Le greffier : Du L'arrêt qui précède, dont la rédaction a été approuvée à huis clos, est notifié, par l'envoi d'une copie complète, à : - M. Jean-Pierre Bloch, avocat (pour M.________), - Ministère public central, et communiqué à : ‑ M. le Président du Tribunal de police de l’arrondissement de Lausanne, - M. le Procureur de l’arrondissement de Lausanne, - Service de prévoyance et d’aide sociales de l’Etat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