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810 vom 25. September 2014</w:t>
      </w:r>
    </w:p>
    <w:p>
      <w:r>
        <w:t>VD Tribunal cantonal, 2014-09-25, FR</w:t>
      </w:r>
    </w:p>
    <w:p>
      <w:r>
        <w:rPr>
          <w:b/>
        </w:rPr>
        <w:t xml:space="preserve">Quelle: </w:t>
      </w:r>
      <w:r>
        <w:t>https://mcp.opencaselaw.ch/entscheid/vd_findinfo_D_cision___2014___810</w:t>
      </w:r>
    </w:p>
    <w:p>
      <w:r>
        <w:t>FR: VD_FINDINFO Décision / 2014 / 810 du 25 septembre 2014</w:t>
      </w:r>
    </w:p>
    <w:p>
      <w:r>
        <w:t>IT: VD_FINDINFO Décision / 2014 / 810 del 25 settembre 2014</w:t>
      </w:r>
    </w:p>
    <w:p>
      <w:pPr>
        <w:pStyle w:val="Heading2"/>
      </w:pPr>
      <w:r>
        <w:t>Regeste</w:t>
      </w:r>
    </w:p>
    <w:p>
      <w:r>
        <w:t>RISQUE DE COLLUSION, RISQUE DE FUITE, PROPORTIONNALITÉ, PRINCIPE DE LA CÉLÉRITÉ | 212 al. 3 CPP (CH), 221 al. 1 let. a CPP (CH), 221 al. 1 let. b CPP (CH), 5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interjeté en temps utile devant l’autorité compétente et satisfaisant aux conditions de forme posées par l’art. 385 al. 1 CPP, le recours est recevable.</w:t>
      </w:r>
    </w:p>
    <w:p>
      <w:r>
        <w:rPr>
          <w:b/>
        </w:rPr>
        <w:t>E. 2</w:t>
      </w:r>
    </w:p>
    <w:p>
      <w:r>
        <w:t>a) I.________, tout en contestant avoir volé ou même touché un quelconque objet lors du cambriolage du 14 août 2014, auquel il se serait limité à assister (PV aud. d’arrestation du 21 août 2014), admet, à juste titre, l’existence de soupçons suffisants à son encontre. Ceux-ci se sont d’ailleurs renforcés, puisque des empreintes pouvant correspondre au profil du prévenu ont été retrouvées sur d’autres lieux de cambriolage (PV des opérations, p. 6, ad 23 août 2014). b) Le prénommé affirme en outre ne plus remettre en cause le risque de collusion dont il contestait initialement l’existence, vu l’arrêt de la Cour de céans du 5 septembre 2014 (n° 653). Ce risque est toujours présent, puisque, comme l’a indiqué la Procureure dans sa demande de prolongation de la détention provisoire, des recherches sont en cours pour déterminer l’implication du recourant dans d’autres cambriolages. En outre, le prévenu, qui a d’abord nié avoir participé au cambriolage du 14 août 2014, avant de l’admettre, a, lors de son audition par la police le 21 août 2014, déclaré n’avoir rien d’autre à se reprocher (lignes 163 et 164), de sorte qu’il est primordial d’empêcher tout contact entre lui et d’éventuels autres protagonistes. Ainsi, des investigations supplémentaires apparaissent nécessaires et l'on peut craindre qu’I.________ ne prenne certaines mesures de nature à entraver la manifestation de la vérité s'il était remis en liberté. c) De toute manière, le risque de fuite est évident, dès lors que le prévenu, ressortissant macédonien, est sans travail, qu’il ne dispose d’aucun autre titre de séjour en Suisse que celui de touriste et qu’il a lui-même admis se rendre régulièrement en Macédoine (PV aud. du 21 août 2014, R. 5). Aucune mesure de substitution n’étant susceptible de prévenir valablement le risque de fuite (art. 212 al. 2 let. c CPP), ce risque fait également obstacle à la relaxation d’I.________.</w:t>
      </w:r>
    </w:p>
    <w:p>
      <w:r>
        <w:rPr>
          <w:b/>
        </w:rPr>
        <w:t>E. 3</w:t>
      </w:r>
    </w:p>
    <w:p>
      <w:r>
        <w:t>a) Le recourant soutient que la durée de la prolongation de sa détention serait excessive et qu’elle violerait le principe de la proportionnalité. b)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c) En l’espèce, I.________ est détenu depuis le 21 août 2014, soit depuis un peu plus d’un mois. Il est mis en cause pour vol, violation de domicile et dommages à la propriété. Or, la seule infraction de vol est passible d’une peine privative de liberté de cinq ans au plus ou d’une peine pécuniaire (art. 139 ch. 1 CP [Code pénal suisse du 21 décembre 1937; RS 311.0]) et il n’est pas exclu, au vu du cambriolage commis le 14 août 2014 en compagnie de deux comparses et des soupçons qui pèsent sur lui quant à sa participation à d’autres vols, que le prénommé se soit affilié à une bande pour commettre ces infractions, ce que l’instruction devra déterminer; or, le vol commis avec de telles circonstances aggravantes est passible d’une peine privative de liberté de dix ans au plus ou d’une peine pécuniaire de 180 jours-amende au moins (art. 139 ch. 3 CP). Compte tenu des actes qui lui sont reprochés, le recourant s'expose à une peine privative de liberté d’une durée manifestement supérieure à celle de la détention provisoire subie à ce jour. Le principe de la proportionnalité demeure donc respecté.</w:t>
      </w:r>
    </w:p>
    <w:p>
      <w:r>
        <w:rPr>
          <w:b/>
        </w:rPr>
        <w:t>E. 4</w:t>
      </w:r>
    </w:p>
    <w:p>
      <w:r>
        <w:t>a) A titre subsidiaire, le recourant demande que la durée de la prolongation de sa détention soit ramenée à un mois "afin d’effectuer un contrôle de la célérité de l’instruction". Il fait valoir que depuis le début de sa détention provisoire, aucun acte d’instruction n’aurait été entrepris et qu’il n’a pas été (ré)entendu, notamment sur l’existence d’autres cambriolages qui le concerneraient. b) Concrétisant le principe de la célérité, l'art.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(TF 1B_150/2012 du 30 mars 2012 c. 3 et les arrêts cités). Il doit toutefois s'agir d'un manquement particulièrement grave, faisant au surplus apparaître que l'autorité de poursuite n'est plus en mesure de conduire la procédure à chef dans un délai raisonnable (ibid.).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(ibid.). c) En l’espèce, le Ministère public est dans l’attente des résultats des examens du profil génétique du prévenu et, comme il l’a relevé dans sa demande de prolongation de la détention provisoire, des recherches sont en cours en relation avec les chaussures de ce dernier. Ces mesures d’instruction sont adéquates, compte tenu des déclarations contradictoires des protagonistes sur le rôle de chacun dans le vol par effraction commis le 14 août 2014, en particulier s’agissant d’un éventuel échange de chaussures entre eux (PV aud. de [...] du 14 août 2014, p. 4; PV aud. d’arrestation d’I.________ du 21 août 2014, lignes 119 et 120), et de la découverte d’empreintes pouvant correspondre au profil du recourant sur d’autres lieux de cambriolage. Ces mesures devraient donc permettre au Ministère public d’établir plus précisément l’ampleur de l’activité délictueuse du recourant et d’établir les liens entre ce dernier et les autres personnes éventuellement impliquées. L’instruction se poursuit donc et en l’état, après un peu plus d’un mois de détention, on ne saurait considérer qu’il y ait un retard injustifié dans l’avancement de la procédure. Partant, le moyen tiré d’une violation du principe de la célérité doit également être rejeté et il n'y a pas de motif de limiter la détention provisoire à un mois, comme réclamé par le recourant.</w:t>
      </w:r>
    </w:p>
    <w:p>
      <w:r>
        <w:rPr>
          <w:b/>
        </w:rPr>
        <w:t>E. 5</w:t>
      </w:r>
    </w:p>
    <w:p>
      <w:r>
        <w:t>En définitive, le recours, manifestement mal fondé, doit être rejeté et l'ordonnance entreprise confirmée. Les frais de la procédure de recours, constitués en l’espèce de l’émolument d'arrêt, par 770 fr. (art. 20 al. 1 TFIP [tarif des frais de procédure et indemnités en matière pénale du 28 septembre 2010; RSV 312.03.1]), et des frais imputables à la défense d’office (art. 422 al. 1 et 2 let. a CPP), fixés à 450 fr., plus la TVA par 36 fr., soit 486 fr. au total, seront mis à la charge du recourant, qui succombe (art. 428 al. 1 CPP). Le remboursement à l’Etat de l’indemnité allouée au défenseur d’office d’I.________ ne sera toutefois exigible que pour autant que la situation économique de ce dernier se soit améliorée (art. 135 al. 4 CPP). Par ces motifs, la Chambre des recours pénale, statuant à huis clos, prononce : I. Le recours est rejeté. II. L'ordonnance du 8 septembre 2014 est confirmée. III. L'indemnité allouée au défenseur d'office d’I.________ est fixée à 486 fr. (quatre cent huitante-six francs). IV. Les frais d’arrêt, par 770 fr. (sept cent septante francs), ainsi que l’indemnité due au défenseur d’office d’I.________ selon le chiffre III ci-dessus, sont mis à la charge de ce dernier. V. Le remboursement à l'Etat de l'indemnité allouée au chiffre III ci-dessus ne sera exigible que pour autant que la situation économique d’I.________ se soit améliorée. VI . Le présent arrêt est exécutoire. Le président :               Le greffier : Du L'arrêt qui précède, dont la rédaction a été approuvée à huis clos, est notifié, par l'envoi d'une copie complète, à : - Me Laurent Schuler, avocat (pour I.________), - Ministère public central, et communiqué à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