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 vom 6. Januar 2014</w:t>
      </w:r>
    </w:p>
    <w:p>
      <w:r>
        <w:t>VD Tribunal cantonal, 2014-01-06, FR</w:t>
      </w:r>
    </w:p>
    <w:p>
      <w:r>
        <w:rPr>
          <w:b/>
        </w:rPr>
        <w:t xml:space="preserve">Quelle: </w:t>
      </w:r>
      <w:r>
        <w:t>https://mcp.opencaselaw.ch/entscheid/vd_findinfo_D_cision___2014___8</w:t>
      </w:r>
    </w:p>
    <w:p>
      <w:r>
        <w:t>FR: VD_FINDINFO Décision / 2014 / 8 du 6 janvier 2014</w:t>
      </w:r>
    </w:p>
    <w:p>
      <w:r>
        <w:t>IT: VD_FINDINFO Décision / 2014 / 8 del 6 gennaio 2014</w:t>
      </w:r>
    </w:p>
    <w:p>
      <w:pPr>
        <w:pStyle w:val="Heading2"/>
      </w:pPr>
      <w:r>
        <w:t>Regeste</w:t>
      </w:r>
    </w:p>
    <w:p>
      <w:r>
        <w:t>DÉTENTION PRÉVENTIVE, RISQUE DE RÉCIDIVE, PROPORTIONNALITÉ | 221 al. 1 let. c CPP (CH), 222 CPP (CH)</w:t>
      </w:r>
    </w:p>
    <w:p>
      <w:pPr>
        <w:pStyle w:val="Heading2"/>
      </w:pPr>
      <w:r>
        <w:t>Erwägungen</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compte tenu des éléments au dossier, il existe une présomption suffisamment sérieuse de culpabilité à l’encontre de T.________, ce que ce dernier ne conteste d’ailleurs pas.</w:t>
      </w:r>
    </w:p>
    <w:p>
      <w:r>
        <w:rPr>
          <w:b/>
        </w:rPr>
        <w:t>E. 3</w:t>
      </w:r>
    </w:p>
    <w:p>
      <w:r>
        <w:t>a) Le recourant conteste toutefois le risque de récidive, en particulier que l’on puisse considérer que les infractions reprochées constituent des délits graves compromettant sérieusement la sécurité d’autrui au sens de l’art. 221 al. 1 let. c CPP.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(137 IV 84 c. 3.2, JT 2011 IV 325).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 (CREP 8 mai 2012/221 c. 2c). Il en va de même de la commission à réitérées reprises de dommages à la propriété (CREP 18 juillet 2013/435 c. 3c). Le Tribunal fédéral a également retenu que si un vol à la tire d'un porte-monnaie ne constituait pas en soi un délit grave, il pouvait cependant être tenu compte du nombre important d'infractions commises et de leur fréquence pour apprécier leur gravité (TF 1B_730/2012 du 19 décembre 2012 c. 3.2).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 c) En l’espèce, T.________ a déjà été condamné à huit reprises depuis 2004, dont cinq fois pour vol et dommages à la propriété depuis 2010. Ces condamnations, en particulier deux peines privatives de liberté fermes de 30 et 90 jours prononcées les 19 mars et 19 juillet 2013, ne l’ont toutefois pas dissuadé de récidiver. En effet, le recourant a commis récemment de nombreux vols dans des véhicules, plusieurs objets correspondant à une vingtaine de plaintes déposées ayant été découverts à son domicile. Pris isolément, un acte de vol par effraction n’est pas un délit grave au sens de l’art. 221 al. 1 let. c CPP. Toutefois, dans le cas concret, la multiplication de cet acte permet de retenir la circonstance de gravité exigée pour les délits conformément à la jurisprudence du Tribunal fédéral (cf. c. 3b supra). Dans ces conditions, on peut admettre que l'activité délictueuse déployée par le recourant est de nature à compromettre sérieusement la sécurité au sens de l'art. 221 al. 1 let. c CPP. Aucune mesure de substitution n’est à même de prévenir le risque retenu, en particulier l’intensification d’un suivi auprès du Centre thérapeutique de jour des [...], de sorte qu’il se justifie d’ordonner le maintien de T.________ en détention provisoire.</w:t>
      </w:r>
    </w:p>
    <w:p>
      <w:r>
        <w:rPr>
          <w:b/>
        </w:rPr>
        <w:t>E. 4</w:t>
      </w:r>
    </w:p>
    <w:p>
      <w:r>
        <w:t>a)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T.________ est détenu depuis le 22 décembre 2013, soit depuis un peu plus de quinze jours. Compte tenu des actes qui lui sont reprochés, le recourant s'expose à une peine privative de liberté d’une durée manifestement supérieure à celle de la détention provisoire subie à ce jour. Au vu de ces éléments, le principe de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de T.________,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24 décembre 2013 est confirmée. III. L'indemnité allouée au défenseur d'office de T.________ est fixée à 583 fr. 20 (cinq cent huitante-trois francs et vingt centimes). IV. Les frais du présent arrêt, par 770 fr. (sept cent septante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Mme Irène Schmidlin, avocate (pour T.________),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