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788 vom 5. September 2014</w:t>
      </w:r>
    </w:p>
    <w:p>
      <w:r>
        <w:t>VD Tribunal cantonal, 2014-09-05, FR</w:t>
      </w:r>
    </w:p>
    <w:p>
      <w:r>
        <w:rPr>
          <w:b/>
        </w:rPr>
        <w:t xml:space="preserve">Quelle: </w:t>
      </w:r>
      <w:r>
        <w:t>https://mcp.opencaselaw.ch/entscheid/vd_findinfo_D_cision___2014___788</w:t>
      </w:r>
    </w:p>
    <w:p>
      <w:r>
        <w:t>FR: VD_FINDINFO Décision / 2014 / 788 du 5 septembre 2014</w:t>
      </w:r>
    </w:p>
    <w:p>
      <w:r>
        <w:t>IT: VD_FINDINFO Décision / 2014 / 788 del 5 settembre 2014</w:t>
      </w:r>
    </w:p>
    <w:p>
      <w:pPr>
        <w:pStyle w:val="Heading2"/>
      </w:pPr>
      <w:r>
        <w:t>Regeste</w:t>
      </w:r>
    </w:p>
    <w:p>
      <w:r>
        <w:t>DISJONCTION DE CAUSES | 30 CPP (CH), 393 al. 1 let. a CPP (CH)</w:t>
      </w:r>
    </w:p>
    <w:p>
      <w:pPr>
        <w:pStyle w:val="Heading2"/>
      </w:pPr>
      <w:r>
        <w:t>Erwägungen</w:t>
      </w:r>
    </w:p>
    <w:p>
      <w:r>
        <w:rPr>
          <w:b/>
        </w:rPr>
        <w:t>E. 1</w:t>
      </w:r>
    </w:p>
    <w:p>
      <w:r>
        <w:t>Une décision par laquelle le Ministère public ordonne la jonction ou la disjonction de procédures pénales (art. 30 CPP) est susceptible d’un recours immédiat au sens des art. 393 ss CPP (Stephenson/Thiriet, in: Niggli/Heer/Wiprächtiger [éd.], Basler Kommentar, Schweizerische Strafprozessordnung, Jugendstrafprozessordnung, Bâle 2011, n. 10 ad art. 393 CPP; CREP 25 mai 2012/305 ; CREP 10 avril 2012/225 c. 1a ; CREP 22 mars 2012/193 c. 1). En l’espèce, il y a lieu d’entrer en matière sur le recours, qui a été interjeté en temps utile (art. 384 let. b CPP) devant l’autorité compétente (art. 396 al. 1 CPP) et satisfait aux conditions de forme posées par l’art. 385 al. 1 CPP.</w:t>
      </w:r>
    </w:p>
    <w:p>
      <w:r>
        <w:rPr>
          <w:b/>
        </w:rPr>
        <w:t>E. 2</w:t>
      </w:r>
    </w:p>
    <w:p>
      <w:r>
        <w:t>Le recourant soutient notamment que la motivation de l’ordonnance entreprise ne serait pas compatible avec les conditions de l’art. 30 CPP. Il fait valoir qu’il a été interpellé en compagnie de Q.________ et C.________ et que leurs infractions n’auraient aucun lien avec l’activité délictueuse de A.E.________ et  B.E.________. Il conviendrait dès lors selon lui soit d’annuler l’ordonnance de disjonction, soit de disjoindre les cas de A.E.________ et B.E.________ des autres comparses.</w:t>
      </w:r>
    </w:p>
    <w:p>
      <w:r>
        <w:rPr>
          <w:b/>
        </w:rPr>
        <w:t>E. 2.1</w:t>
      </w:r>
    </w:p>
    <w:p>
      <w:r>
        <w:t>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Une telle dérogation au principe de l’unité de la procédure doit se fonder sur des raisons objectives, ce qui exclut qu’une exception au principe se fonde par exemple sur de simples motifs de commodité (Bertossa, in: Kuhn/Jeanneret [éd.], Commentaire romand, Code de procédure pénale suisse, Bâle 2011, n. 5 ad art. 29 CPP et n. 2 et 4 ad art. 30 CPP ; Bartetzko, in : Basler Kommentar, Schweizerische Strafprozessordnung, Bâle 2011, n. 1 et 3 ad art. 30 CPP). La disjonction doit avant tout servir à garantir la rapidité de la procédure et à éviter un retard inutile (ATF 138 IV 214 c. 3.2 et les références citées).</w:t>
      </w:r>
    </w:p>
    <w:p>
      <w:r>
        <w:rPr>
          <w:b/>
        </w:rPr>
        <w:t>E. 2.2</w:t>
      </w:r>
    </w:p>
    <w:p>
      <w:r>
        <w:t>En l’espèce, la procureure a expliqué que Q.________ et C.________ font également l’objet de deux autres enquêtes pénales pour des faits d’une certaine gravité et pour lesquels ils sont détenus provisoirement depuis le 4 juin 2014. La disjonction permettra ainsi de les juger sur l’ensemble de leur activité délictueuse. Au vu de ce motif, la disjonction de la procédure pénale ordonnée par le Ministère public concernant ces deux prévenus apparaît bien fondée. Pour le surplus, les arguments invoquées par le recourant à l’appui d’une disjonction de sa cause de celles de A.E.________ et B.E.________ ne paraissent pas dénués de pertinence. Cette question sort toutefois de l’objet de la contestation soumise à la cour de céans. Il appartiendra à la procureure de se prononcer à ce sujet dans l’hypothèse où une requête dans ce sens devrait lui être soumise.</w:t>
      </w:r>
    </w:p>
    <w:p>
      <w:r>
        <w:rPr>
          <w:b/>
        </w:rPr>
        <w:t>E. 3</w:t>
      </w:r>
    </w:p>
    <w:p>
      <w:r>
        <w:t>En définitive, le recours, manifestement mal fondé, doit être rejeté sans autre échange d’écritures (art. 390 al. 2 CPP) et l'ordonnance du 5 août 2014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5 août 2014 est confirmée. III. L’indemnité due au défenseur d’office de V.________ est fixée à 777 fr. 60 (sept cent septante-sept francs et soixante centimes). IV. L'émolument d’arrêt, par 660 fr. (six cent soixante francs), ainsi que l’indemnité due au défenseur d’office de V.________, par 777 fr. 60 (sept cent septante-sept francs et soixante centimes), sont mis à la charge de ce dernier. V. Le remboursement à l’Etat de l’indemnité allouée au chiffre III ci-dessus sera exigible pour autant que la situation économique de V.________ se soit améliorée. VI. Le présent arrêt est exécutoire. Le président :               La greffière : Du L'arrêt qui précède, dont la rédaction a été approuvée à huis clos, est notifié, par l'envoi d'une copie complète, à : - M. Ludovic Tirelli, avocat (pour V.________), - M. Rodolphe Petit, avocat (pour  Q.________), - M. Michel Chevalley, avocat (pour C.________), - M. David Abikzer, avocat (pour A.E.________), - M. Lionel Zeiter, avocat (pour B.E.________), - Office des curatelles et tutelles professionnelles, - Ramelet Fils SA, - Sulser Group, - Mostafa Tlili, - Authentique Maison du Vin SA, - Croix-Bleue Romande, - Denner, - Joao Baptista Domingos, - Adriano Ferreira De Azevedo, - Germaine Gros, - Toma Houriet, - Interio SA, - La Poste Suisse, - Nettoyage Speed Sàrl, - Sanela Jakovlevic, - Catherine Maendly,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