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783 vom 14. Juli 2014</w:t>
      </w:r>
    </w:p>
    <w:p>
      <w:r>
        <w:t>VD Tribunal cantonal, 2014-07-14, FR</w:t>
      </w:r>
    </w:p>
    <w:p>
      <w:r>
        <w:rPr>
          <w:b/>
        </w:rPr>
        <w:t xml:space="preserve">Quelle: </w:t>
      </w:r>
      <w:r>
        <w:t>https://mcp.opencaselaw.ch/entscheid/vd_findinfo_D_cision___2014___783</w:t>
      </w:r>
    </w:p>
    <w:p>
      <w:r>
        <w:t>FR: VD_FINDINFO Décision / 2014 / 783 du 14 juillet 2014</w:t>
      </w:r>
    </w:p>
    <w:p>
      <w:r>
        <w:t>IT: VD_FINDINFO Décision / 2014 / 783 del 14 luglio 2014</w:t>
      </w:r>
    </w:p>
    <w:p>
      <w:pPr>
        <w:pStyle w:val="Heading2"/>
      </w:pPr>
      <w:r>
        <w:t>Regeste</w:t>
      </w:r>
    </w:p>
    <w:p>
      <w:r>
        <w:t>CLASSEMENT DE LA PROCÉDURE, ESCROQUERIE, CONTRAINTE{DROIT PÉNAL} | 146 CP, 181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la qualité pour recourir (cf. art. 382 al. 1 CPP), le recours est recevable.</w:t>
      </w:r>
    </w:p>
    <w:p>
      <w:r>
        <w:rPr>
          <w:b/>
        </w:rPr>
        <w:t>E. 2</w:t>
      </w:r>
    </w:p>
    <w:p>
      <w:r>
        <w:t>La recourante conteste le classement en tant qu’il concerne les faits dont il est question au chiffre</w:t>
      </w:r>
    </w:p>
    <w:p>
      <w:r>
        <w:rPr>
          <w:b/>
        </w:rPr>
        <w:t>E. 3</w:t>
      </w:r>
    </w:p>
    <w:p>
      <w:r>
        <w:t>En définitive, le recours, manifestement mal fondé, doit être rejeté sans autres échanges d'écritures (art. 390 al. 2 CPP) et l’ordonnance du 10 avril 2014 confirmée.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270 fr., plus 21 fr. 60 de TVA, soit un total de 291 fr. 60, seront mis à la charge de la recourante, qui succombe (art. 428 al. 1 CPP). Le remboursement à l’Etat de l’indemnité allouée au conseil d’office de L.________ ne sera toutefois exigible que pour autant que la situation économique de ce dernier se soit améliorée (art. 135 al. 4 CPP). Par ces motifs, la Chambre des recours pénale, prononce : I. Le recours est rejeté. II. L’ordonnance du 10 avril 2014 est confirmée. III. L'indemnité allouée au conseil d'office de L.________ est fixée à 291 fr. 60 (deux cent nonante-et-un francs et soixante centimes). IV. Les frais d'arrêt, par 770 fr. (sept cent septante francs), ainsi que l'indemnité due au conseil d'office de L.________, par 291 fr. 60 (deux cent nonante-et-un francs et soixante centimes), sont mis à la charge de cette dernière.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 Jean Lob, avocat (pour L.________), - M. Paul-Arthur Treyvaud, avocat (pour X.________), - Ministère public central ; et communiqué à : - M. le Procureur de l’arrondissement de la Broye et du Nord vaudois, - M. le Président du Tribunal correctionnel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