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776 vom 30. Juli 2014</w:t>
      </w:r>
    </w:p>
    <w:p>
      <w:r>
        <w:t>VD Tribunal cantonal, 2014-07-30, FR</w:t>
      </w:r>
    </w:p>
    <w:p>
      <w:r>
        <w:rPr>
          <w:b/>
        </w:rPr>
        <w:t xml:space="preserve">Quelle: </w:t>
      </w:r>
      <w:r>
        <w:t>https://mcp.opencaselaw.ch/entscheid/vd_findinfo_D_cision___2014___776</w:t>
      </w:r>
    </w:p>
    <w:p>
      <w:r>
        <w:t>FR: VD_FINDINFO Décision / 2014 / 776 du 30 juillet 2014</w:t>
      </w:r>
    </w:p>
    <w:p>
      <w:r>
        <w:t>IT: VD_FINDINFO Décision / 2014 / 776 del 30 luglio 2014</w:t>
      </w:r>
    </w:p>
    <w:p>
      <w:pPr>
        <w:pStyle w:val="Heading2"/>
      </w:pPr>
      <w:r>
        <w:t>Regeste</w:t>
      </w:r>
    </w:p>
    <w:p>
      <w:r>
        <w:t>INDEMNITÉ POUR DÉTENTION, CLASSEMENT DE LA PROCÉDURE, IMPUTATION, DÉTENTION INJUSTIFIÉE, DÉTENTION PROVISOIRE | 429 al. 1 let. c CPP (CH), 431 CPP (CH)</w:t>
      </w:r>
    </w:p>
    <w:p>
      <w:pPr>
        <w:pStyle w:val="Heading2"/>
      </w:pPr>
      <w:r>
        <w:t>Erwägungen</w:t>
      </w:r>
    </w:p>
    <w:p>
      <w:r>
        <w:rPr>
          <w:b/>
        </w:rPr>
        <w:t>E. 1</w:t>
      </w:r>
    </w:p>
    <w:p>
      <w:r>
        <w:t>let. 1 LOJV; art. 12 al. 1 ROTC [Règlement organique du Tribunal cantonal; RSV 173.31.1]) –, sa direction de la procédure statue seule sur le recours lorsqu'il porte sur les conséquences économiques accessoires d'une décision et que le montant litigieux n'excède pas 5'000 francs. Dans ce cas, un juge de la Chambre des recours pénale est compétente pour statuer en tant que juge unique (art. 13 al. 2 LVCPP). L’indemnité au sens de l’art. 429 CPP entre dans la notion de conséquences économiques d'une décision (Schmid, Praxiskommentar, Schweizerische Strafprozessordnung, Zurich/St-Gall 2013, n. 3 ad art. 395 CPP; Stephenson/Thiriet, in : Niggli/Heer/Wiprächtiger [éd.], op. cit., n. 5 ad 395 CPP). En l’espèce, dans la mesure où, dans son recours – qui ne porte que sur la question de l’indemnisation –, G.________ a conclu à l’allocation d’une indemnité au sens des art. 429 ss CPP d’un montant de 48’750 fr., le recours relève de la compétence de la Chambre des recours pénale en corps, et non du juge unique.</w:t>
      </w:r>
    </w:p>
    <w:p>
      <w:r>
        <w:rPr>
          <w:b/>
        </w:rPr>
        <w:t>E. 2</w:t>
      </w:r>
    </w:p>
    <w:p>
      <w:r>
        <w:t>a) L'art. 429 al. 1 let. c CPP prévoit que le prévenu acquitté partiellement ou totalement a le droit à une réparation du tort moral subi en raison d'une atteinte particulièrement grave à sa personnalité, notamment en cas de privation de liberté. Cette disposition est applicable non seulement lorsque le prévenu bénéficie d’un classement total, mais aussi, comme en l’espèce, lorsque le classement n’est prononcé que pour une partie des faits reprochés (Schmid, op. cit., n. 4 ad art. 429 CPP). Dans ce cas, la question de l’indemnisation doit être examinée séparément pour chaque complexe de fait (Schmid, ibidem ). b) En l’espèce, G.________ a été détenue durant 75 jours en raison de l’existence de soupçons de brigandage qualifié, avant d’être mise au bénéfice d’un classement pour cette infraction. Une atteinte à la personnalité au sens de l’art. 429 al. 1 let. c CPP étant présumée en cas de détention (Griesser, in : Donatsch/Hansjakob/Lieber (éd.), Kommentar zur Schweizerischen Strafprozessordnung, Zurich 2010, n. 7 ad art. 429 CPP; Schmid, op. cit., n. 10 ad art. 429 CPP; CREP 29 décembre 2013/831), la prénommée peut sur le principe prétendre à une indemnisation en application de cette disposition. Toutefois, au même titre qu’il n’y a pas lieu à indemnisation lorsque la durée de la détention provisoire excédant la peine finalement prononcée peut être imputée sur la sanction prononcée en raison d’une autre infraction (art. 431 al. 2 CPP), il n’y a pas lieu à indemnisation lorsque le prévenu bénéficie d’un classement pour l’infraction ayant justifié la détention provisoire mais que cette dernière peut être imputée sur la sanction prononcée en raison d’une autre infraction. Cette solution découle de l’art. 51 CP (Code pénal suisse du 21 décembre 1937; RS 311.0), qui prévoit que la détention avant jugement subie "dans le cadre de l’affaire qui vient d’être jugée ou d’une autre procédure" est imputée sur la peine (ATF 133 IV 150; TF 6B_558/2013 du 13 décembre 2013 c. 1.5 et les références citées). Elle est conforme à la systématique de la loi, ainsi qu’au principe de la subsidiarité de l’indemnisation. En effet, alors que la réglementation de l’ancien droit, soit de l’art. 69 aCP, était basée sur le principe de l’identité du délit, selon lequel la détention préventive ne pouvait être imputée que sur la peine infligée en raison de l’infraction dont la poursuite avait nécessité une mise en détention, le nouveau système consacre le critère de l’identité de la procédure (FF 1999 pp. 1787 ss, spéc. 1869; Jeanneret, Commentaire romand, Code pénal I, n. 8 ad art. 51 CP). Or, tant la doctrine (Dupuis et alii, Petit commentaire, Code pénal, Bâle 2012, n. 3 ad art. 51 CP) que la jurisprudence (ATF 133 IV 150 précité) admettent que la détention avant jugement est imputée sur la peine même si cette détention résulte d’une autre procédure. Cet arrêt va même plus loin puisqu’il indique qu’un jugement violerait l’art. 51 CP s’il prescrivait une indemnisation à raison d’une détention avant jugement subie à tort, alors même qu’il est possible et d’ailleurs requis d’imputer cette détention avant jugement sur la peine à prononcer dans le contexte d’une nouvelle procédure (cf. dans le même sens Jeanneret, op. cit., n. 9 ad art. 51 CP). En d’autres termes, l’imputation doit l’emporter sur l’indemnisation (TF 6B_558/2013 précité c. 1.5; Jeanneret, ibidem ). c) Partant, c’est à juste titre que le Procureur a, en l’occurrence, imputé la détention provisoire subie par G.________ en raison des soupçons de brigandage sur la peine infligée pour infraction à la LEtr et qu’il a, pour ce motif, rejeté la requête d’indemnité de la prénommée. Cette solution s’impose d’autant plus que les différentes infractions ont été instruites dans le cadre de la même procédure; il est en effet ressorti de l’instruction ouverte contre la recourante pour complicité de brigandage qualifié que celle-ci vivait en situation irrégulière en Suisse depuis plusieurs années (P. 336/1, p. 123). Cela étant, il n’est pas nécessaire d’examiner si l’attitude de la recourante en cours d’enquête aurait justifié le refus de l’indemnité, comme l’a retenu par surcroît le Procureur.</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900 fr., plus la TVA par 72 fr., soit un total de 972 fr.,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21 mai 2014 est confirmée. III. L’indemnité allouée au défenseur d’office de G.________ est fixée à 972 fr. (neuf cent septante-deux francs). IV. Les frais d’arrêt, par 660 fr. (six cent soixante francs), ainsi que l’indemnité due au défenseur d’office de G.________, par 972 fr. (neuf cent septante-deux francs), sont mis à la charge de cette dernière. V. Le remboursement à l’Etat de l’indemnité allouée au chiffre III ci-dessus sera exigible pour autant que la situation économique de G.________ se soit améliorée. VI. Le présent arrêt est exécutoire. Le président :               Le greffier : Du L'arrêt qui précède, dont la rédaction a été approuvée à huis clos, est notifié, par l'envoi d'une copie complète, à : - M. Vincent Demierre, avocat (pour G.________), - M. Marcel Heider, avocat (pour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