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772 vom 15. Juli 2014</w:t>
      </w:r>
    </w:p>
    <w:p>
      <w:r>
        <w:t>VD Tribunal cantonal, 2014-07-15, FR</w:t>
      </w:r>
    </w:p>
    <w:p>
      <w:r>
        <w:rPr>
          <w:b/>
        </w:rPr>
        <w:t xml:space="preserve">Quelle: </w:t>
      </w:r>
      <w:r>
        <w:t>https://mcp.opencaselaw.ch/entscheid/vd_findinfo_D_cision___2014___772</w:t>
      </w:r>
    </w:p>
    <w:p>
      <w:r>
        <w:t>FR: VD_FINDINFO Décision / 2014 / 772 du 15 juillet 2014</w:t>
      </w:r>
    </w:p>
    <w:p>
      <w:r>
        <w:t>IT: VD_FINDINFO Décision / 2014 / 772 del 15 luglio 2014</w:t>
      </w:r>
    </w:p>
    <w:p>
      <w:pPr>
        <w:pStyle w:val="Heading2"/>
      </w:pPr>
      <w:r>
        <w:t>Regeste</w:t>
      </w:r>
    </w:p>
    <w:p>
      <w:r>
        <w:t>CLASSEMENT DE LA PROCÉDURE, LOI FÉDÉRALE SUR LA PROCÉDURE PÉNALE APPLICABLE AUX MINEURS, INFRACTIONS CONTRE L'INTÉGRITÉ SEXUELLE | 189 CP, 190 CP, 319 CPP (CH)</w:t>
      </w:r>
    </w:p>
    <w:p>
      <w:pPr>
        <w:pStyle w:val="Heading2"/>
      </w:pPr>
      <w:r>
        <w:t>Erwägungen</w:t>
      </w:r>
    </w:p>
    <w:p>
      <w:r>
        <w:rPr>
          <w:b/>
        </w:rPr>
        <w:t>E. 1</w:t>
      </w:r>
    </w:p>
    <w:p>
      <w:r>
        <w:t>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art. 396 al. 1 CPP), pour les motifs énoncés à l’art. 393 al. 2 CPP. d) Satisfaisant aux prescriptions de forme de l'art. 385 al. 1 CPP et déposé dans le délai légal de dix jours par la partie plaignante, qui a qualité pour recourir, le recours est recevable.</w:t>
      </w:r>
    </w:p>
    <w:p>
      <w:r>
        <w:rPr>
          <w:b/>
        </w:rPr>
        <w:t>E. 2</w:t>
      </w:r>
    </w:p>
    <w:p>
      <w:r>
        <w:t>a) 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op. cit.,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w:t>
      </w:r>
    </w:p>
    <w:p>
      <w:r>
        <w:rPr>
          <w:b/>
        </w:rPr>
        <w:t>E. 3</w:t>
      </w:r>
    </w:p>
    <w:p>
      <w:r>
        <w:t>a)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non souhaité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131 IV 107 c. 2.4 ; ATF 128 IV 97 c. 2b/aa, JT 2004 IV 123) et atteindre l'intensité d'un acte de violence ou d'une menace (ATF 128 IV 97, précité, c. 3a). Ainsi, l’infériorité cognitive et la dépendance émotionnelle et sociale – en particulier chez les enfants et les adolescents – peuvent induire une pression psychique extraordinaire et, partant, une soumission comparable à une contrainte physique, les rendant incapables de s’opposer à des atteintes sexuelles. La jurisprudence parle de « violence structurelle » pour désigner cette forme de contrainte d’ordre psychique commise par l’instrumentalisation de liens sociaux (cf. ATF 131 IV 107 c. 2.2 ; ATF 128 IV 97 c. 2, JT 2004 IV 123 ; ATF 124 IV 154, JT 2000 IV 134 ; TF 6S.450/2006 du 20 février 2007 c. 7.1). b) En l'espèce, la recourante discute, les uns après les autres, les divers éléments retenus par la présidente du Tribunal des mineurs pour asseoir sa conviction, estimant que ceux-ci doivent au contraire conduire à retenir l'existence d'une relation sexuelle non consentie dans le cas particulier : - Le Dr A.________, qui a examiné C.________ au Centre hospitalier X._________ peu après les faits, a constaté l'existence de deux petites fissures au niveau hyménal (cf. P. 6011). Comme le premier juge, il convient d'en prendre acte. Cet élément confirme l'existence d'une relation sexuelle, ce qui n'est en soi pas contesté, tout comme le fait que la jeune fille a eu mal lors de ce rapport. Le prévenu en a eu conscience puisqu'il s'est interrompu à la demande de la jeune fille (PV aud. 502, pp. 2 i. f et 3). Les parties ont ensuite changé de position. Le rapport médical, qui ne fait état d'aucune autre lésion, ne dit rien de plus, tout comme l'arrêt de la cour de céans auquel se réfère la recourante; - la chronologie des messages extraits du téléphone portable du prévenu: il faut admettre avec la présidente du Tribunal des mineurs que ceux-ci apportent un éclairage en faveur d'une relation consentie; quoi qu'il en soit, ces messages confirment en tout cas l'absence d'élément subjectif à l'infraction de viol, le prévenu, bien que maladroit et mufle, ne pouvant y voir l'absence de consentement de la jeune fille (cf. Corboz, op. cit., n. 11 ad art. 190 CP); - les messages envoyés par la recourante au prévenu avant d'être aspergée: contrairement à ce que tente de démontrer la recourante, les termes utilisés dans ces messages alors qu'elle se trouvait à attendre U.________ à l'extérieur du bâtiment plaident à nouveau plutôt pour une relation consentie, contre laquelle la jeune fille aurait réagi vu le comportement adopté par le jeune homme après les faits. On n'y discerne en tout cas pas l'existence d'une quelconque contrainte psychique; - utilisation d'un préservatif : cet élément n'est à lui seul pas pertinent, quelle que soit l'hypothèse envisagée; - changement de position : comme la cour de céans l'a déjà relevé ci-dessus en lien avec les messages SMS, cet élément plaide pour une relation consentie, dès lors qu'il montre que U.________ a tenu compte du ressenti de sa partenaire; - le comportement de la jeune fille après les faits, en lien avec le dépôt de la plainte : C.________ a elle-même déclaré à l'inspectrice de la brigade des mœurs que "moi, au fait, je n'aurais jamais porté plainte avec la police s'il ne s'était jamais passé le truc avec la fleur. Car dès le moment où il y a eu cela, j'ai compris qu'il s'était foutu de ma gueule de A à Z. (…). Que si sa mère était vraiment là et qu'on aurait vraiment passé l'après-midi ensemble, j'aurais laissé tomber. Mais dès que j'ai vu cela, j'ai compris qu'il avait vraiment manigancé son plan. Je suis devenue folle" (cf. PV aud. 502, p. 5 i.f.). Cette réaction ressort des SMS que C.________ a envoyés au prévenu après les faits et confirme l'appréciation faite par la présidente du Tribunal des mineurs sur ce point. Cela étant, la recourante n'apporte aucun élément propre à renverser l'appréciation des faits opérée par la présidente du Tribunal des mineurs. Le classement de l'affaire ordonné par cette magistrate est justifié.</w:t>
      </w:r>
    </w:p>
    <w:p>
      <w:r>
        <w:rPr>
          <w:b/>
        </w:rPr>
        <w:t>E. 4</w:t>
      </w:r>
    </w:p>
    <w:p>
      <w:r>
        <w:t>En conclusion, le recours doit être rejeté et l'ordonnance de classement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des art. 3 PPMin et 138 al. 1 CPP), les frais de la procédure de recours – constitués en l’espèce de l’émolument d’arrêt, par 550 fr. (art. 20 al. 1 et 3 TFIP [tarif des frais de procédure et indemnités en matière pénale; RSV 312.03.1]) et des frais imputables à l’assistance judiciaire gratuite (art. 422 al. 1 et 2 let. a CPP), fixés à 680 fr., plus la TVA par 54 fr. 40, soit au total 734 fr. 40 – ne peuvent être mis à la charge de la recourante qui succombe (art. 428 al. 1 CPP), mais doivent être provisoirement laissés à la charge de l’Etat (Goran Mazzuchelli/Mario Postizzi, in: Niggli/Heer/Wiprächtiger (éd.), op. cit., n. 4 ad art. 138 CPP; Maurice Harari/Corinne Corminboeuf, in: Kuhn/Jeanneret [éd.], Code de procédure pénale suisse, Commentaire romand, Bâle 2011, n. 51 ad art. 136 CPP). La recourante sera toutefois tenue de rembourser ces frais à l’Etat dès que sa situation financière le permettra (art. 135 al. 4 CPP et 138 al. 1 CPP; Mazzuchelli/Postizzi, op. cit., n. 4 ad art. 138 CPP; Harari/Corminboeuf, op. cit., n. 11 ad art. 138 CPP). Par ces motifs, la Chambre des recours pénale, statuant à huis clos, prononce : I. Le recours est rejeté. II. L'ordonnance du 24 juin 2014 est confirmée. III . L'indemnité allouée au conseil juridique gratuit de la recourante est fixée à 734 fr. 40 (sept cent trente-quatre francs et quarante centimes), TVA incluse. IV. Les frais d'arrêt, par 550 fr. (cinq cent cinquante francs), ainsi que l'indemnité due au conseil juridique gratuit de la recourante, soit au total 1'284 fr. 40 (mille deux cent huitante-quatre francs et quarante centimes), sont provisoirement laissés à la charge de l'Etat. V. La recourante sera tenue de rembourser à l'Etat l'indemnité allouée au chiffre III ci-dessus ainsi que les frais fixés au chiffre IV ci-dessus dès que sa situation financière le permettra. VI. L'arrêt est exécutoire. Le président :               La greffière : Du L'arrêt qui précède, dont la rédaction a été approuvée à huis clos, est notifié, par l'envoi d'une copie complète, à : - Mme Isabelle Jaques, avocate (pour C.________), - Mme Mathilde Bessonnet, avocate (pour U.________), - M. et Mme U.________,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