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770 vom 11. Juli 2014</w:t>
      </w:r>
    </w:p>
    <w:p>
      <w:r>
        <w:t>VD Tribunal cantonal, 2014-07-11, FR</w:t>
      </w:r>
    </w:p>
    <w:p>
      <w:r>
        <w:rPr>
          <w:b/>
        </w:rPr>
        <w:t xml:space="preserve">Quelle: </w:t>
      </w:r>
      <w:r>
        <w:t>https://mcp.opencaselaw.ch/entscheid/vd_findinfo_D_cision___2014___770</w:t>
      </w:r>
    </w:p>
    <w:p>
      <w:r>
        <w:t>FR: VD_FINDINFO Décision / 2014 / 770 du 11 juillet 2014</w:t>
      </w:r>
    </w:p>
    <w:p>
      <w:r>
        <w:t>IT: VD_FINDINFO Décision / 2014 / 770 del 11 luglio 2014</w:t>
      </w:r>
    </w:p>
    <w:p>
      <w:pPr>
        <w:pStyle w:val="Heading2"/>
      </w:pPr>
      <w:r>
        <w:t>Regeste</w:t>
      </w:r>
    </w:p>
    <w:p>
      <w:r>
        <w:t>NON-LIEU, APPROPRIATION ILLÉGITIME, DOMMAGES À LA PROPRIÉTÉ{DROIT PÉNAL}, FAUX INTELLECTUEL DANS LES TITRES, FAUX MATÉRIEL DANS LES TITRES, ABUS D'AUTORITÉ, VIOLATION DU SECRET DE FONCTION{DROIT PÉNAL} | 137 CP, 144 CP, 251 ch. 1 CP, 312 CP, 320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les plaignantes qui ont qualité pour recourir (cf. art. 382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Les recourantes soutiennent tout d’abord que la prévenue aurait établi une fausse attestation de propriété, ainsi que de fausses reconnaissances de dette (P. 6/2 à 6/7), se rendant ainsi coupable de faux dans les titres.</w:t>
      </w:r>
    </w:p>
    <w:p>
      <w:r>
        <w:rPr>
          <w:b/>
        </w:rPr>
        <w:t>E. 3.1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Le faux dans les titres n’est punissable que s’il est commis intentionnellement. L’intention doit porter sur tous les éléments constitutifs de l’infraction. Le dol éventuel suffit (ATF 135 IV 12 c. 2.2).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(ATF 79 IV 162 c. 3).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(TF 6B_223/2012 du 14 décembre 2014 c. 2.4). Selon le Tribunal fédéral, est illicite l’avantage obtenu en matière de preuve au moyen d’un titre falsifié, même dans l’hypothèse où celui-ci doit permettre de faire triompher une prétention légitime (ATF 119 IV 234 c. 2c et les références citées). Ainsi, il y a dessein de se procurer un avantage illicite lorsque l’auteur entend par un faux faciliter la preuve en justice ou dans la vie des affaires d’une prétention qui existe véritablement (Corboz, Les infractions en droit suisse, vol. II, 3 e éd., Berne 2010, n. 183 ad art. 251 CP, et les références citées).</w:t>
      </w:r>
    </w:p>
    <w:p>
      <w:r>
        <w:rPr>
          <w:b/>
        </w:rPr>
        <w:t>E. 3.2</w:t>
      </w:r>
    </w:p>
    <w:p>
      <w:r>
        <w:t>En l’espèce, les recourantes ne soutiennent pas que la signature apposée sur les documents litigieux serait fausse, ni que le contenu général des documents aurait été manipulé, mais elles affirment uniquement que ces documents auraient été antidatés par la prévenue (P. 23/1, p. 2-3). Cette dernière, quant à elle, affirme que ces documents ont été faits sous dictée de B.K.________, imprimés, datés de sa main puis signés par le défunt et que la date figurant sur l’acte, lorsqu’elle y figure, correspond à la date de la signature (PV aud. 1, lignes 169 ss). Il est bien évident que si tout s’est déroulé comme l’affirme la prévenue, l’infraction de faux dans les titres ne serait manifestement pas réalisée. Il en irait par ailleurs de même si on devait admettre que la date n’a été apposée par M.________ qu’après coup, respectivement que le document dans son entier a été établi et signé à une date ne correspondant pas à celle indiquée, dans la mesure où, même dans ces hypothèses, aucun élément au dossier ne permet de conclure que ces documents ne reflètent pas la volonté réelle du signataire. Au vu de ce qui précède, il n'est donc manifestement pas possible de retenir que les éléments constitutifs de faux dans les titres seraient réunis.</w:t>
      </w:r>
    </w:p>
    <w:p>
      <w:r>
        <w:rPr>
          <w:b/>
        </w:rPr>
        <w:t>E. 4</w:t>
      </w:r>
    </w:p>
    <w:p>
      <w:r>
        <w:t>Les recourantes reprochent ensuite à la prévenue de s’être rendue coupable de violation du secret de fonction et d’abus d’autorité en révélant des informations, dont elle aurait eu connaissance dans le cadre de son activité professionnelle d’employée au sein de l’administration fiscale.</w:t>
      </w:r>
    </w:p>
    <w:p>
      <w:r>
        <w:rPr>
          <w:b/>
        </w:rPr>
        <w:t>E. 4.1.1</w:t>
      </w:r>
    </w:p>
    <w:p>
      <w:r>
        <w:t>En vertu de l'art. 312 CP, se rendent coupable d'abus d'autorité les membres d'une autorité et les fonctionnaires qui, dans le dessein de se procurer ou de procurer à un tiers un avantage illicite, ou dans le dessein de nuire à autrui, auront abusé des pouvoirs de leur charge. L'abus d'autorité présuppose, parmi les éléments constitutifs objectifs de l'infraction, que, dans l'accomplissement de sa tâche officielle, le membre de l'autorité ou le fonctionnaire abuse des moyens coercitifs inhérents à sa charge (Corboz, Les infractions en droit suisse, 3 e éd., vol. I, Berne 2010, n. 5 ad art. 312 CP).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n. 6 ad art. 312 CP). La licéité de l'acte est, en tous les cas, subordonnée à la condition qu'il soit proportionné à son but (ATF 107 IV 84 c. 4). L’auteur doit avoir conscience de son statut et accepter l’éventualité d’abuser des pouvoirs de sa charge (Corboz, op. cit., n. 9 ad art. 312 CP).</w:t>
      </w:r>
    </w:p>
    <w:p>
      <w:r>
        <w:rPr>
          <w:b/>
        </w:rPr>
        <w:t>E. 4.1.2</w:t>
      </w:r>
    </w:p>
    <w:p>
      <w:r>
        <w:t>En l’espèce, comme l’a à juste titre considéré la procureure, le fait d’avoir adressé deux messages SMS à l’une des recourantes, certes en la menaçant de révéler certaines affaires confidentielles sur son père, ne tombe pas sous le coup de l’art. 312 CP, car la prévenue n’a pas agi dans l’accomplissement de sa tâche officielle mais à titre privé. L’infraction d’abus d’autorité n’est donc pas réalisée.</w:t>
      </w:r>
    </w:p>
    <w:p>
      <w:r>
        <w:rPr>
          <w:b/>
        </w:rPr>
        <w:t>E. 4.2.1</w:t>
      </w:r>
    </w:p>
    <w:p>
      <w:r>
        <w:t>Se rend coupable de violation du secret de fonction, au sens de l'art. 320 CP, celui qui aura révélé un secret à lui confié en sa qualité de membre d’une autorité ou de fonctionnaire, ou dont il avait eu connaissance à raison de sa charge ou de son emploi, la révélation demeurant punissable alors même que la charge ou l’emploi a pris fin (ch. 1, al. 1 et 2). Il faut qualifier de secret un fait connu d'un cercle restreint de personnes, que l'on veut garder confidentiel, en ayant pour cela un intérêt légitime (Corboz, Les infractions en droit suisse, vol. II, 3 e éd., Berne 2010, p. 739; ATF 127 IV 122 c. 1; ATF 126 IV 236 c. 2a). Il faut donc un intérêt digne de protection à ce que le secret soit gardé, cet intérêt pouvant être celui de la collectivité publique concernée (Corboz, op. cit., p. 740). En outre l'information doit avoir été confiée au membre de l'autorité ou au fonctionnaire parce qu'il revêt cette charge publique ou qu'il l'a apprise en exerçant sa charge officielle, par exemple en lisant des rapports ou des dossiers (Corboz, op. cit., p. 741). Il doit apprendre le fait ès qualité, c'est-à-dire en tant que membre d'une autorité ou fonctionnaire (ibidem). Le comportement délictueux consiste à violer intentionnellement le devoir de garder le secret, l'auteur communiquant ou rendant accessible le secret à une personne qui n'y a pas accès (Corboz, op. cit., pp. 744-745). Il convient encore de préciser que le devoir de garder le secret existe pour les membres des autorités et les fonctionnaires même si aucune norme ou instruction ne le dit expressément (Corboz, op. cit., p. 742).</w:t>
      </w:r>
    </w:p>
    <w:p>
      <w:r>
        <w:rPr>
          <w:b/>
        </w:rPr>
        <w:t>E. 4.2.2</w:t>
      </w:r>
    </w:p>
    <w:p>
      <w:r>
        <w:t>En l’espèce, la prévenue travaille au sein de l’Administration cantonale des impôts. Elle a admis, dans un message SMS adressé le 1 er août 2012 (P. 4/1 p. 2) à D.________, avoir parlé de la situation des plaignantes et de leur père à une « collègue des successions ». Elle a également admis, lors de son audition, avoir envoyé un courrier aux services sociaux dont dépendent les recourantes pour leur transmettre des informations, sans toutefois préciser la nature de celles-ci (PV aud. 1, lignes 277 ss). Les informations détenues par la prévenue concernaient donc tant la situation financière de B.K.________ que celle des recourantes, dont, a priori, elle ne pouvait pas avoir connaissance à titre privé. Ainsi, faute d’avoir examiné totalement cette question, la procureure ne pouvait écarter, à ce stade, toute infraction à l’art. 320 ch. 1 CP à la charge de l’intimée. Il s’ensuit que le recours doit être admis sur ce point. Il appartiendra à la procureure d’instruire notamment plus avant les faits relatifs à la lettre adressée par la prévenue aux services sociaux afin de déterminer quelles informations la prévenue a transmises.</w:t>
      </w:r>
    </w:p>
    <w:p>
      <w:r>
        <w:rPr>
          <w:b/>
        </w:rPr>
        <w:t>E. 5</w:t>
      </w:r>
    </w:p>
    <w:p>
      <w:r>
        <w:t>Les recourantes soutiennent encore que la prévenue se serait approprié des objets ayant appartenu à B.K.________ à leur détriment.</w:t>
      </w:r>
    </w:p>
    <w:p>
      <w:r>
        <w:rPr>
          <w:b/>
        </w:rPr>
        <w:t>E. 5.1</w:t>
      </w:r>
    </w:p>
    <w:p>
      <w:r>
        <w:t>L’art. 137 CP prévoit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notamment, agi sans dessein d'enrichissement, l'infraction ne sera poursuivie que sur plainte (ch. 2).</w:t>
      </w:r>
    </w:p>
    <w:p>
      <w:r>
        <w:rPr>
          <w:b/>
        </w:rPr>
        <w:t>E. 5.2</w:t>
      </w:r>
    </w:p>
    <w:p>
      <w:r>
        <w:t>En l’espèce, à l’appui de leurs dires, les recourantes ont produit une liste d’objets datée du 5 octobre 2012 (P. 19/2) et affirment que les objets désignés par une croix sont ceux que la prévenue avait, dans un premier temps, accepté de restituer (P. 19/1). Les recourantes s’appuient ensuite sur une déclaration signée par tous les intéressés le 1 er février 2013 dont il ressort que certains des objets précédemment désignés, et notamment une montre Cartier, n’ont pas été restitués (P. 17/2). Les explications de la prévenue sur ce point ne sont pas très claires (PV aud. 1, ligne 306 ss). En effet, elle affirme notamment avoir restitué la montre Cartier alors que la déclaration signée par les parties atteste que cette montre manquait (P. 17/2). Il conviendrait donc tout d’abord de déterminer l’ensemble des objets que la prévenue aurait, dans un premier temps, reconnu détenir et accepter de restituer. La prévenue a en effet admis avoir été invitée à se déterminer au sujet des biens revendiqués par les héritiers (PV aud. 1, ligne 322 ss). A cet égard, la pièce 19/2 est insuffisante dans la mesure où elle n’est pas signée par les parties. Elle a toutefois visiblement été rédigée par les soins du notaire. Il doit donc être possible de définir précisément les biens que la prévenue a accepté de restituer, en procédant notamment à l’audition du notaire, respectivement du juriste en charge du dossier au sein de l’étude. Il s’agira ensuite de comparer la liste des biens ainsi définie avec celle des biens restitués, étant entendu que si certains de ces biens ont dans l’intervalle disparu, les soupçons d’appropriation illégitime se verraient alors considérablement renforcés. Par conséquent, le recours doit être admis sur ce point également. L’instruction doit donc être poursuivie, afin de déterminer si M.________ a contrevenu à l’art. 137 CP.</w:t>
      </w:r>
    </w:p>
    <w:p>
      <w:r>
        <w:rPr>
          <w:b/>
        </w:rPr>
        <w:t>E. 6</w:t>
      </w:r>
    </w:p>
    <w:p>
      <w:r>
        <w:t>Enfin, les recourantes reprochent à la prévenue d’avoir endommagé un certain nombre d’objets appartenant à B.K.________ avant de les leur restituer.</w:t>
      </w:r>
    </w:p>
    <w:p>
      <w:r>
        <w:rPr>
          <w:b/>
        </w:rPr>
        <w:t>E. 6.1</w:t>
      </w:r>
    </w:p>
    <w:p>
      <w:r>
        <w:t>Selon l'art. 144 al. 1 CP, se rend coupable de dommages à la propriété celui qui aura endommagé, détruit ou mis hors d'usage une chose appartenant à autrui ou frappée d'un droit d'usage ou d'usufruit au bénéfice d'autrui. Le dommage à la propriété est réalisé dès que la chose est atteinte soit dans sa substance, soit dans son apparence ; l’atteinte peut ainsi consister, notamment, dans une modification de la chose qui aurait pour effet d’en supprimer ou d’en réduire l’usage (ATF 116 IV 145 ; Pellet/Favre/Stoudmann, Code pénal annoté, 3 e éd., Lausanne 2007/2011, n. 1.3 ad art. 144 CP).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Dupuis/Geller/Monnier/Moreillon/Piguet/Bettex/Stoll [éd.], Petit commentaire du Code pénal, Bâle 2012, n. 16 ad art. 144 CP et les références citées ; Corboz, Les infractions en droit suisse, vol. I, 3 e éd., Berne 2010, n. 23 ad art. 144).</w:t>
      </w:r>
    </w:p>
    <w:p>
      <w:r>
        <w:rPr>
          <w:b/>
        </w:rPr>
        <w:t>E. 6.2</w:t>
      </w:r>
    </w:p>
    <w:p>
      <w:r>
        <w:t>En l’espèce, la prévenue a admis qu’elle n’excluait pas que certains objets aient souffert pendant leur déplacement pour être restitués aux recourantes (PV aud. 1, ligne 298 ss). Cependant, on ne trouve, au dossier, aucun élément qui permettrait de considérer que des objets auraient été endommagés intentionnellement par M.________. Manifestement mal fondé, le moyen doit être rejeté.</w:t>
      </w:r>
    </w:p>
    <w:p>
      <w:r>
        <w:rPr>
          <w:b/>
        </w:rPr>
        <w:t>E. 7</w:t>
      </w:r>
    </w:p>
    <w:p>
      <w:r>
        <w:t>Il résulte de l’ensemble des considérations qui précèdent que le recours doit être partiellement admis. L’ordonnance attaquée doit être confirmée en tant qu’elle classe la procédure pénale dirigée contre M.________ pour dommages à la propriété et faux dans les titres. Pour le surplus, elle doit être annulée et le dossier de la cause renvoyé au Ministère public central, division affaires spéciales, contrôle et mineurs pour qu’il procède dans le sens des considérants. Les frais de la procédure de recours, constitués en l’espèce du seul émolument d'arrêt (art. 422 al. 1 CPP), par 1’210 fr. (art. 20 al. 1 TFIP  [Tarif des frais de procédure et indemnités en matière pénale du 28 septembre 2010; RSV 312.03.1]), seront mis pour moitié à la charge des recourantes, à parts égales et solidairement entre elles (art. 418 al. 1 et 2 CPP), le solde étant laissé à la charge de l’Etat. S’agissant des dépens réclamés par les recourantes, il appartiendra le cas échéant à ces dernières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statuant à huis clos, prononce : I. Le recours est partiellement admis. II. L’ordonnance de classement du 4 avril 2014 est confirmée en tant qu’elle ordonne le classement de la procédure pénale dirigée contre M.________ pour dommages à la propriété et faux dans les titres. III. Pour le surplus, l’ordonnance de classement du 4 avril 2014 est annulée et le dossier de la cause est renvoyé au Ministère public central, divison affaires spéciales, contrôle et mineurs pour qu’il procède dans le sens des considérants. IV. Les frais de la procédure de recours, par 1'210 fr. (mille deux cent dix francs), sont mis par moitié, soit par 605 fr. (six cent cinq francs), à la charge de A.K.________ et D.________, à parts égales et solidairement entre elles, le solde étant laissé à la charge de l’Etat. V. Le présent arrêt est exécutoire. Le président :               La greffière : Du L'arrêt qui précède, dont la rédaction a été approuvée à huis clos, est notifié, par l'envoi d'une copie complète, à : - M. Renaud Lattion, avocat (pour A.K.________ et D.________), - Mme Marguerite Florio, avocate (pour M.________), - Ministère public central ;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