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765 vom 17. Juli 2014</w:t>
      </w:r>
    </w:p>
    <w:p>
      <w:r>
        <w:t>VD Tribunal cantonal, 2014-07-17, FR</w:t>
      </w:r>
    </w:p>
    <w:p>
      <w:r>
        <w:rPr>
          <w:b/>
        </w:rPr>
        <w:t xml:space="preserve">Quelle: </w:t>
      </w:r>
      <w:r>
        <w:t>https://mcp.opencaselaw.ch/entscheid/vd_findinfo_D_cision___2014___765</w:t>
      </w:r>
    </w:p>
    <w:p>
      <w:r>
        <w:t>FR: VD_FINDINFO Décision / 2014 / 765 du 17 juillet 2014</w:t>
      </w:r>
    </w:p>
    <w:p>
      <w:r>
        <w:t>IT: VD_FINDINFO Décision / 2014 / 765 del 17 luglio 2014</w:t>
      </w:r>
    </w:p>
    <w:p>
      <w:pPr>
        <w:pStyle w:val="Heading2"/>
      </w:pPr>
      <w:r>
        <w:t>Regeste</w:t>
      </w:r>
    </w:p>
    <w:p>
      <w:r>
        <w:t>INDEMNITÉ{EN GÉNÉRAL}, CLASSEMENT DE LA PROCÉDURE, IN DUBIO PRO DURIORE | 319 CPP (CH), 429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F.________, prévenu et partie plaignante qui a qualité pour recourir (cf. art. 382 al. 1 CPP), le recours est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b) En l'espèce, F.________ soutient de manière convaincante que la "simple lecture du dossier" permet d'admettre que les faits qu'il a allégués sont les seuls à même d'être, selon toute vraisemblance, retenus. Tout d'abord, le recourant relève qu'il se trouvait au cours d'une opération de surveillance et de filature nécessitant la plus grande discrétion (PV aud. 4, lignes 62, 63, 107 et 108), ce qui est corroboré par l'attestation de son supérieur produite au dossier (P. 16; PV aud. 4, ligne 131). Il est totalement improbable, dans ces circonstances, que F.________ puisse s'être livré à une agression d'un tiers, au risque de mettre en péril sa carrière de plus de dix ans de bons et loyaux services, d'autant moins pour les motifs évoqués par Z.________ dans sa plainte, soit parce que celui-ci n'aurait pas immédiatement reculé et aurait klaxonné, empêchant le recourant d'entreprendre sa manœuvre. Non seulement la description des faits du recourant est logique, compte tenu des circonstances spécifiques dans lesquelles il se trouvait à ce moment-là, mais son profil contraste de manière criante avec celui de l'intimé, tel qu'il ressort du dossier. En effet, si le casier judiciaire de F.________ est vierge, celui de Z.________ fait état de deux enquêtes en cours, l'une dans le canton de Vaud pour lésions corporelles simples et l'autre dans le canton de Fribourg pour lésions corporelles simples et agression, ainsi que de trois condamnations, la première, en 2004, par le Juge de police de la Veveyse à cinq jours d'emprisonnement avec sursis pendant 2 ans et 400 fr. d'amende pour infraction à la LStup (loi fédérale sur les stupéfiants et les substances psychotropes du 3 octobre 1951; RS 812.121), la seconde, en 2007, par les Juges d'instruction de Fribourg à 80 heures de travail d'intérêt général avec sursis pendant 2 ans et 200 fr. d'amende pour agression et, enfin, en 2012, par le Ministère public de l'arrondissement de Lausanne à une peine pécuniaire de 120 jours-amende à 45 fr. le jour, dont 60 jours-amende avec sursis pendant 3 ans, et 600 fr. d'amende pour, notamment, opposition aux actes de l'autorité. Ainsi, Z.________ apparaît à l'évidence comme une personne agressive et il serait utile à l'enquête de connaître les considérants des condamnations antérieures de l'intimé en vue de déterminer si les faits de ces précédentes affaires présentent des similitudes avec ceux de la présente cause. D'ailleurs, à la question de savoir si son ami était "plutôt bagarreur ou plutôt calme", K.________ a affirmé que "cela dépend[ait] des circonstances" et qu'il était "généralement" calme (PV aud. 3, lignes 125 et 126). Pour le reste, on peut s'interroger sur la crédibilité de ce témoignage. En effet, on s'étonne de ce que K.________ ait su, plus d'une année après les faits, décrire le déroulement exact des événements et l'agression prétendument subie par Z.________, à tel point que ses déclarations sont un véritable décalque de celles de l'intimé, mais n'a pas été en mesure de se rappeler, en raison de l'écoulement du temps, contre lequel des deux véhicules celui-ci aurait été plaqué (PV aud. 3, lignes 62 à 65), alors qu'elle était elle-même passagère de la voiture conduite par l'intimé. A cela s'ajoute que K.________ était la compagne de Z.________ depuis trois ans à l'époque de son audition, circonstance qui doit conduire à la prudence au moment d’apprécier son témoignage. Le recourant souligne également avec pertinence que le comportement de Z.________ au cours de la procédure est loin d'avoir été irréprochable, puisque celui-ci s'est soustrait à plusieurs reprises à son audition en donnant des explications pour le moins étranges (recours, p. 7; PV des opérations, pp. 2 et 3). Ensuite, on notera que Z.________ a varié dans ses déclarations sur des points de fait essentiels, aggravant, lors de son audition par le Procureur, ses accusations. En effet, il a, à cette occasion, affirmé avoir été "jeté contre sa voiture", alors qu'il avait dit auparavant avoir été "collé" (PV aud. 1, lignes 43 et 97), respectivement "plaqué" contre son véhicule (Dossier joint, PV aud. 1). Au contraire, les déclarations de F.________ ont toujours été constantes. En outre, si, dans sa plainte, le recourant a d'emblée admis avoir repoussé l'attaque de ses mains (P. 4), Z.________ n'a, quant à lui, jamais fait état d'une quelconque tentative de défense, ce qui paraît pour le moins surprenant, compte tenu des circonstances dans lesquelles il prétend avoir été agressé, soutenant même que la blessure à l'épaule dont souffrait le recourant depuis l'altercation serait due à la violence dont celui-ci aurait usé lorsqu'il l'avait saisi (PV aud. 1, lignes 98 et 98). On notera par ailleurs que le recourant a su indiquer que Z.________, après être descendu de sa voiture, lui avait déclaré "qu'un autre automobiliste à plaques étrangères avait failli lui causer un accident peu auparavant" (P. 4, p. 2), circonstance que l’intimé n’a évoquée que lors de son audition devant le Procureur (PV aud. 1, lignes 62 et 63); cela pourrait du reste expliquer "l'état d'excitation avancé" dans lequel le prévenu se trouvait au moment des faits, tel qu'il a été décrit par le recourant (P. 4, p. 2). Enfin, les rougeurs au cou dont s'est plaint Z.________, constatées par l'appointée R.________ peu après l'altercation, peuvent s'expliquer par le geste de défense du recourant, qui a admis avoir repoussé son agresseur au niveau du cou (PV aud. 4, ligne 45; recours, p. 5). En définitive, on ne saurait retenir qu’il n’existe aucun doute sur les faits relatés par Z.________, ni aucun soupçon justifiant une mise en accusation de ce dernier, sauf à violer le principe in dubio pro duriore . Il apparaît au contraire à ce stade que la version des faits du recourant est plus vraisemblable que celle de l’intimé. Il appartiendra ainsi au juge matériellement compétent de se prononcer. Il s’ensuit que le Procureur est tenu de dresser un acte d’accusation dirigé contre Z.________, étant rappelé qu’une mise en accusation s'impose même lorsque les probabilités d'un acquittement et d'une condamnation apparaissent équivalentes (c. 2a supra ).</w:t>
      </w:r>
    </w:p>
    <w:p>
      <w:r>
        <w:rPr>
          <w:b/>
        </w:rPr>
        <w:t>E. 3</w:t>
      </w:r>
    </w:p>
    <w:p>
      <w:r>
        <w:t>a) S'agissant des effets accessoires du classement, le raisonnement du Procureur relatif à l'indemnité de l'art. 429 CPP se révèle trop restrictif. En effet, l'allocation d'une telle indemnité doit intervenir dans les cas où le recours à un avocat apparaît raisonnable. En principe, toutes les charges autres qu'une contravention justifient l'intervention d'un avocat (Juge unique CREP 9 mars 2012/152). Toutefois, tant le recours à un avocat que l'activité déployée par celui-ci doivent être justifiés (ATF 138 IV 197). Dans les cas juridiquement simples, l'activité de l'avocat doit se limiter au minimum, soit tout au plus à une simple consultation; en revanche, dans le cas de crimes ou de délits, le recours à un avocat ne peut qu'exceptionnellement être considéré comme un exercice non raisonnable des droits de partie ( ibidem ). Cela pourrait par exemple être le cas lorsque la procédure fait immédiatement l'objet d'un classement après une première audition (cf. ATF 138 IV 197 c. 2.3.5 et les références citées; TF 6B_387/2013 du 8 juillet 2013 c. 2.1). b) En l'espèce, les conditions posées par la jurisprudence sont manifestement réalisées, cela d'autant plus que le conseil du recourant a accompli uniquement des opérations justifiées et utiles à la défense des intérêts de son client. Il importe peu à cet égard que l'intimé n'ait, quant à lui, pas été assisté. Le recourant étant un policier, une condamnation aurait pour lui des conséquences très lourdes, ce qui justifie, pour ce motif également, le recours à un avocat. Il en découle que le recourant a bien droit à une indemnité au sens de l'art. 429 CPP. Dès lors que l'ordonnance de classement doit être partiellement annulée et le dossier renvoyé au Procureur, il appartiendra à ce dernier de fixer la quotité de l'indemnité de l'art. 429 CPP sur la base du nouveau tarif des frais de procédure et indemnités en matière pénale (TFIP; RSV 312.03.1) et, le cas échéant, de déterminer qui devra en assumer la charge (cf. art. 432 al. 1 CPP).</w:t>
      </w:r>
    </w:p>
    <w:p>
      <w:r>
        <w:rPr>
          <w:b/>
        </w:rPr>
        <w:t>E. 4</w:t>
      </w:r>
    </w:p>
    <w:p>
      <w:r>
        <w:t>Enfin, s'agissant des frais, il n'est pas établi que le recourant ait adopté un comportement civilement répréhensible, dans la mesure où, comme on l'a vu ci-avant (c. 2), c'est plutôt le contraire qui ressort du dossier. Là également, il se justifie pleinement de libérer le recourant de toute participation aux frais de procédure.</w:t>
      </w:r>
    </w:p>
    <w:p>
      <w:r>
        <w:rPr>
          <w:b/>
        </w:rPr>
        <w:t>E. 5</w:t>
      </w:r>
    </w:p>
    <w:p>
      <w:r>
        <w:t>Il résulte de ce qui précède que le recours doit être admis, l’ordonnance de classement du 22 mai 2014 confirmée en tant qu'elle classe la procédure pénale dirigée contre F.________ pour lésions corporelles simples, respectivement voies de fait, et annulée pour le surplus et le dossier renvoyé au Ministère public de l'arrondissement de Lausanne pour qu’il procède dans le sens des considérants. Vu l'issue du recours, les frais de la procédure de recours, constitués du seul émolument d'arrêt, par 990 fr. (art. 20 al. 1 TFIP), seront laissés à la charge de l'Etat (art. 428 al. 4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22 mai 2014 est confirmée en tant qu'elle classe la procédure pénale dirigée contre F.________ pour lésions corporelles simples, respectivement voies de fait. III. L'ordonnance du 22 mai 2014 est annulée pour le surplus. IV. Le dossier est renvoyé au Ministère public de l'arrondissement de Lausanne pour qu’il procède dans le sens des considérants. V. Les frais d'arrêt, par 990 fr. (neuf cent nonante francs), sont laissés à la charge de l'Etat. VI. Le présent arrêt est exécutoire. Le président :               Le greffier : Du L'arrêt qui précède, dont la rédaction a été approuvée à huis clos, est notifié, par l'envoi d'une copie complète, à : - M. Luc Pittet, avocat (pour F.________), - M. Z.________, - Ministère public central, et communiqué à : ‑ M. le Procureur de l'arrondissement de Lausanne, - M. le Commandant de la Police cantonale,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