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763 vom 13. Mai 2014</w:t>
      </w:r>
    </w:p>
    <w:p>
      <w:r>
        <w:t>VD Tribunal cantonal, 2014-05-13, FR</w:t>
      </w:r>
    </w:p>
    <w:p>
      <w:r>
        <w:rPr>
          <w:b/>
        </w:rPr>
        <w:t xml:space="preserve">Quelle: </w:t>
      </w:r>
      <w:r>
        <w:t>https://mcp.opencaselaw.ch/entscheid/vd_findinfo_D_cision___2014___763</w:t>
      </w:r>
    </w:p>
    <w:p>
      <w:r>
        <w:t>FR: VD_FINDINFO Décision / 2014 / 763 du 13 mai 2014</w:t>
      </w:r>
    </w:p>
    <w:p>
      <w:r>
        <w:t>IT: VD_FINDINFO Décision / 2014 / 763 del 13 maggio 2014</w:t>
      </w:r>
    </w:p>
    <w:p>
      <w:pPr>
        <w:pStyle w:val="Heading2"/>
      </w:pPr>
      <w:r>
        <w:t>Regeste</w:t>
      </w:r>
    </w:p>
    <w:p>
      <w:r>
        <w:t>NON-LIEU, CLASSEMENT DE LA PROCÉDURE, LÉSION CORPORELLE PAR NÉGLIGENCE, ACCIDENT DE LA CIRCULATION, FAUTE PROPRE | 125 al. 1 CP, 319 al. 1 CPP (CH)</w:t>
      </w:r>
    </w:p>
    <w:p>
      <w:pPr>
        <w:pStyle w:val="Heading2"/>
      </w:pPr>
      <w:r>
        <w:t>Erwägungen</w:t>
      </w:r>
    </w:p>
    <w:p>
      <w:r>
        <w:rPr>
          <w:b/>
        </w:rPr>
        <w:t>E. 1</w:t>
      </w:r>
    </w:p>
    <w:p>
      <w:r>
        <w:t>Approuvée par le Procureur général le 10 mars 2014, l’ordonnance attaquée a été notifiée aux parties par plis mis à la poste le 21 mars 2014, l’envoi destiné au recourant ayant été reçu par le mandataire de ce dernier le mercredi 26 mars 2014 selon l’allégué crédible de la partie. Interjeté le 4 avril 2014, le recours l’a été dans le délai légal (art. 322 al. 2 et 396 al. 1 CPP [Code de procédure pénale suisse du 5 octobre 2007; RS 312.0]), contre une décision du Ministère public (art. 393 al. 1 let. a CPP), par une partie qui a qualité pour recourir (art. 382 al. 1 CPP). Interjeté dans les formes prescrites (art. 385 al. 1 CPP), le recours est ainsi recevable.</w:t>
      </w:r>
    </w:p>
    <w:p>
      <w:r>
        <w:rPr>
          <w:b/>
        </w:rPr>
        <w:t>E. 2</w:t>
      </w:r>
    </w:p>
    <w:p>
      <w:r>
        <w:t>a)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b)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ou une non-entrée en matière ne peuvent être prononcés par le ministère public que lorsqu'il apparaît clairement que les faits ne sont pas punissables ou que les conditions à la poursuite pénale ne sont pas remplies (TF 6B_797/2013 du 27 mars 2014 c. 2.1).</w:t>
      </w:r>
    </w:p>
    <w:p>
      <w:r>
        <w:rPr>
          <w:b/>
        </w:rPr>
        <w:t>E. 3</w:t>
      </w:r>
    </w:p>
    <w:p>
      <w:r>
        <w:t>a) En vertu de l’art. 125 al. 1 CP (Code pénal; RS 311.0), celui qui, par négligence, aura fait subir à une personne une atteinte à l’intégrité corporelle ou à la santé sera, sur plainte, puni d’une peine privative de liberté de trois ans au plus ou d’une peine pécuniaire. L’infraction de lésions corporelles par négligence, réprimée par l'art. 125 al. 1 CP, consiste dans le fait de causer à autrui, par négligence, des lésions corporelles au sens de l'art. 123 CP. Elle est réalisée lorsque trois éléments constitutifs sont réunis : une négligence commise par l'auteur, une lésion corporelle simple subie par la victime et un lien de causalité naturelle et adéquate entre la négligence et la lésion (Dupuis/Geller/Monnier/Moreillon/Piguet/Bettex/Stoll [éd.], Petit commentaire CP, Bâle 2012,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Une faute concurrente (ou concomitante) du lésé est susceptible d’interrompre la causalité, notamment lorsqu’elle est imprévisible (Dupuis et alii, op. cit., n. 11 ad art. 117 CP, par renvoi de n. 5 ad art. 125 CP). b) En l’espèce, se fondant sur le complément d’instruction auquel il a procédé le 30 octobre 2013, le Procureur a retenu en fait que l’accident avait eu lieu au carrefour du chemin des Chaux et de la Route suisse. Le plaignant en fait de même dans son recours, même si sa plainte mentionnait le chemin des Vergers. Pour sa part, l’intimée a indiqué sans réserve que, circulant sur la Route suisse, elle avait enfilé le chemin des Vergers pour reprendre la route de l’Etraz. Le croquis versé au dossier (P. 16) marque l’emplacement du véhicule automobile et de l’épave du cycle sur une voie expressément désignée comme étant le chemin des Vergers, rejoignant la route suisse sur son côté Jura, alors même que la lettre du 12 novembre 2013 mentionne le chemin des Chaux. L’intimée et, initialement, la police, ont désigné le chemin des Vergers comme étant le lieu de l’accident. Or il est notoire, car révélé notamment par les cartes nationales au sens des art. 22 al. 2 let. d et 25 LGéo (loi fédérale sur la géoinformation; RS 510.62), établies conformément à l’ordonnance du 26 mai 2008 de l’Office fédéral de topographie sur la géoinformation (OGéo-swisstopo; RS 510.620) et accessibles au public de par la loi, que c’est le chemin des Chaux qui rejoint la Route suisse dans la configuration désignée dans le croquis comme étant le chemin des Vergers. A ceci s’ajoute qu’aucune partie n’a jamais mentionné être sortie d’une quelconque impasse ou desserte secondaire. Bien plutôt, le plaignant a expressément indiqué à la police qu’il avait quitté Genève pour Prangins au guidon de son cycle et voulait rejoindre la Route suisse pour retourner en direction de Genève, tandis que l’intimée a relevé vouloir reprendre la route de l’Etraz depuis Gland. Cette intersection correspond précisément au chemin des Chaux. Il doit donc être retenu en fait que l’accident est survenu au bas du chemin des Chaux. Cette localisation étant établie, le croquis (rectifié d’office quant au nom de lieu) et les photographies versés au dossier permettent de statuer en l’état. La requête du recourant tendant à une inspection locale au sens de l’art. 193 CPP doit donc être écartée. c) Alors qu’il descendait depuis le côté Jura pour rejoindre la Route suisse, soit pour s’engager sur la bande cyclable longeant cette voie, le recourant a dû opérer un virage à droite, comme cela ressort du croquis. Ce virage aurait dû être serré pour éviter tout véhicule montant en sens inverse. Sur le croquis, le point de choc est toutefois situé à gauche de la voie dans le sens de marche du cycliste, alors que le véhicule automobile est pour sa part positionné à droite dans son propre sens de marche. Il doit être déduit de cet emplacement que le recourant n’a pas tenu sa droite. Il a ainsi fait fi de l’obligation consacrée par les art. 34 al. 1 LCR (loi fédérale sur la circulation routière; RS 741.01) et 7 al. 1 OCR (ordonnance sur les règles de la circulation routière; RS 741.11). La conductrice ne pouvait s’attendre à une telle manœuvre, d’autant moins qu’elle circulait sur la portion de route adéquate. En outre, contrairement à ce que soutient le recourant, aucun élément ne permet de retenir qu’elle aurait omis d’enclencher son clignoteur droit au moment où elle s’était engagée sur le chemin, ni qu’elle n’aurait commis une quelconque autre faute au volant. A cet égard, le fait que son permis de conduire suisse n’avait pas été délivré dans le délai imparti n’accroît pas le risque sous l’angle de l’appréciation des fautes, le permis étranger étant au demeurant valable. Partant, la faute du recourant est à l’origine des lésions qu’il a subies. Les vêtements visibles et les lumières opérationnelles portées de manière adéquate par le cycliste compte tenu des conditions nocturnes ne changent rien à la nécessité pour celui-ci de tenir sa droite. d) Faute pour l’un au moins des éléments constitutifs de l’infraction de lésions corporelles simples par négligence d’être réalisé, c’est ainsi à juste titre que le Procureur ordonné le classement de la procédure pénale en application de l’art. 319 al. 1 let. b CPP.</w:t>
      </w:r>
    </w:p>
    <w:p>
      <w:r>
        <w:rPr>
          <w:b/>
        </w:rPr>
        <w:t>E. 4</w:t>
      </w:r>
    </w:p>
    <w:p>
      <w:r>
        <w:t>Il résulte de ce qui précède que le recours doit être rejeté sans autres échanges d’écritures (art. 390 al. 2 CPP) et l’ordonnance de classement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6 mars 2014 est confirmée. III. Les frais du présent arrêt, par 880 fr. (huit cent huitante francs), sont mis à la charge de S.________. IV. L’arrêt est exécutoire. Le président :               Le greffier : Du L'arrêt qui précède, dont la rédaction a été approuvée à huis clos, est notifié, par l'envoi d'une copie complète, à : - M. Rolf-A. Tobler, avocat (pour S.________), - Mme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