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762 vom 22. August 2014</w:t>
      </w:r>
    </w:p>
    <w:p>
      <w:r>
        <w:t>VD Tribunal cantonal, 2014-08-22, FR</w:t>
      </w:r>
    </w:p>
    <w:p>
      <w:r>
        <w:rPr>
          <w:b/>
        </w:rPr>
        <w:t xml:space="preserve">Quelle: </w:t>
      </w:r>
      <w:r>
        <w:t>https://mcp.opencaselaw.ch/entscheid/vd_findinfo_D_cision___2014___762</w:t>
      </w:r>
    </w:p>
    <w:p>
      <w:r>
        <w:t>FR: VD_FINDINFO Décision / 2014 / 762 du 22 août 2014</w:t>
      </w:r>
    </w:p>
    <w:p>
      <w:r>
        <w:t>IT: VD_FINDINFO Décision / 2014 / 762 del 22 agosto 2014</w:t>
      </w:r>
    </w:p>
    <w:p>
      <w:pPr>
        <w:pStyle w:val="Heading2"/>
      </w:pPr>
      <w:r>
        <w:t>Regeste</w:t>
      </w:r>
    </w:p>
    <w:p>
      <w:r>
        <w:t>DÉTENTION PROVISOIRE, RISQUE DE COLLUSION | 221 al. 1 let. b CPP (CH), 393 al. 1 let. c CPP (CH)</w:t>
      </w:r>
    </w:p>
    <w:p>
      <w:pPr>
        <w:pStyle w:val="Heading2"/>
      </w:pPr>
      <w:r>
        <w:t>Erwägungen</w:t>
      </w:r>
    </w:p>
    <w:p>
      <w:r>
        <w:rPr>
          <w:b/>
        </w:rPr>
        <w:t>E. 1</w:t>
      </w:r>
    </w:p>
    <w:p>
      <w:r>
        <w:t>Interjeté dans le délai légal (art. 396 al. 1 CPP)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préalablement à toute autre cause, de graves soupçons de culpabilité d’avoir commis un crime ou un délit à l’égard de l’auteur présumé (ATF 139 IV 186 c. 2 ; Schmocker, in : Kuhn/Jeanneret [éd.], Commentaire romand, Code de procédure pénale suisse, Bâle 2011, nn. 7 ss ad art. 221 CPP, pp. 1024 ss). L'intensité des charges propres à motiver un maintien en détention provisoire n'est pas la même aux divers stades de l'instruction pénale. S i des soupçons, même encore peu précis, peuvent être suffisants dans les premiers temps de l'enquête, la perspective d'une condamnation doit apparaître vraisemblable après l'accomplissement des actes d'instruction envisageables (TF 1B_39/2014 du 11 février 2014 c. 2.2 ; ATF 137 IV 122 c. 3.2). Les autorités de recours appelées à se prononcer sur la légalité d'une décision de maintien en détention provisoire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 3.2; ATF 124 I 208 c. 3; ATF 116 Ia 413 c. 3c; TF 1B_423/2010 du 17 janvier 2011 c. 4.1; TF 1B_410/2010 du 23 décembre 2010 c. 4.1; Forster, in : Niggli/Heer/Wiprächtiger [éd.], Basler Kommentar, Schweizerische Strafprozessordnung, 2011, n. 3 ad art. 221 CPP, pp. 1459 s.). b) En l’espèce, le prévenu est soupçonné d’avoir participé à un cambriolage d’une villa. Ce dernier admet être entré dans la maison, avoir assisté au cambriolage mais conteste avoir volé ou même touché un quelconque objet. Il existe ainsi contre A.________ des présomptions de culpabilité suffisantes.</w:t>
      </w:r>
    </w:p>
    <w:p>
      <w:r>
        <w:rPr>
          <w:b/>
        </w:rPr>
        <w:t>E. 3</w:t>
      </w:r>
    </w:p>
    <w:p>
      <w:r>
        <w:t>Le recourant conteste l’existence d’un risque de collusion (art. 221 al. 1 let. b CPP). a)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cf. ATF 137 IV 122 c. 6.2 et 6.4) – vise à garantir la constatation exacte et complète des faits. b) En l’espèce, le recourant ainsi que deux co-prévenus, aux casiers  judiciaires chargés, sont impliqués dans ce cambriolage. Des mesures d’instruction visant notamment à établir l’implication du recourant dans d’autres cambriolages ou tentatives de cambriolages sont actuellement en cours. L’enquête n’en étant qu’à ses débuts, le résultat des investigations pourrait être compromis si le recourant venait à être remis en liberté. A cet égard, la détention provisoire a été ordonnée pour une durée maximale d’un mois, période qui devrait permettre à la procureure de procéder aux mesures d’instruction nécessaires. L’ordonnance est donc bien fondée au regard de l’art. 221 al. 1 let. b CPP.</w:t>
      </w:r>
    </w:p>
    <w:p>
      <w:r>
        <w:rPr>
          <w:b/>
        </w:rPr>
        <w:t>E. 4</w:t>
      </w:r>
    </w:p>
    <w:p>
      <w:r>
        <w:t>La détention provisoire étant d'ores et déjà justifiée par le risque de collusion, il n'est pas nécessaire de trancher la question de l'existence du risque de fuite également invoqué dans la décision entreprise, ainsi que celle des mesures de substitution invoquée par le recourant pour pallier à ce risque. En effet, les conditions fixées à l'art. 221 al. 1 let. a à c CPP sont des conditions alternatives et, partant, la réalisation d'une seule cause suffit (TF 1B_249/2011 du 7 juin 2011 c. 2.4). Pour le surplus, le principe de la proportionnalité des intérêts en présence est respecté, ce qui, à juste titre, n’est pas contesté. Le recourant est en effet détenu provisoirement depuis le 21 août 2014.</w:t>
      </w:r>
    </w:p>
    <w:p>
      <w:r>
        <w:rPr>
          <w:b/>
        </w:rPr>
        <w:t>E. 5</w:t>
      </w:r>
    </w:p>
    <w:p>
      <w:r>
        <w:t>Il résulte de ce qui précède que le recours, manifestement mal fondé, doit être rejeté sans autres échanges d’écritures (art. 390 al. 2 CPP) et l'ordonnance attaquée confirmée. Les frais de la procédure de recours, constitués en l’espèce de l’émolument d'arrêt, par 550 fr. (art. 20 al. 1 TFIP [tarif des frais de procédure et indemnités en matière pénale du 28 septembre 2010; RSV 312.03.1]) et des frais imputables à la défense d’office (art. 422 al. 1 et 2 let. a CPP), fixés à 540 fr., plus la TVA par 43 fr. 20, soit 583 fr. 20 au total, seront mis à la charge de A.________,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22 août 2014 est confirmée. III. L'indemnité allouée au défenseur d'office de A.________ est fixée à 583 fr. 20 (cinq cent huitante-trois francs et vingt centimes). IV. Les frais du présent arrêt, par 550 fr. (cinq cent cinquante francs), ainsi que l'indemnité due au défenseur d'office du recourant selon le chiffre III ci-dessus, sont mis à la charge de A.________. V. Le remboursement à l'Etat de l'indemnité allouée au chiffre III ci-dessus sera exigible pour autant que la situation de A.________ se soit améliorée. VI. Le présent arrêt est exécutoire. Le président :               La greffière : Du L'arrêt qui précède, dont la rédaction a été approuvée à huis clos, est notifié, par l'envoi d'une copie complète, à : - M. Laurent Schuler, avocat (pour A.________), - Ministère public central ; et communiqué à : - Mme la Présidente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