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761 vom 18. Juli 2014</w:t>
      </w:r>
    </w:p>
    <w:p>
      <w:r>
        <w:t>VD Tribunal cantonal, 2014-07-18, FR</w:t>
      </w:r>
    </w:p>
    <w:p>
      <w:r>
        <w:rPr>
          <w:b/>
        </w:rPr>
        <w:t xml:space="preserve">Quelle: </w:t>
      </w:r>
      <w:r>
        <w:t>https://mcp.opencaselaw.ch/entscheid/vd_findinfo_D_cision___2014___761</w:t>
      </w:r>
    </w:p>
    <w:p>
      <w:r>
        <w:t>FR: VD_FINDINFO Décision / 2014 / 761 du 18 juillet 2014</w:t>
      </w:r>
    </w:p>
    <w:p>
      <w:r>
        <w:t>IT: VD_FINDINFO Décision / 2014 / 761 del 18 luglio 2014</w:t>
      </w:r>
    </w:p>
    <w:p>
      <w:pPr>
        <w:pStyle w:val="Heading2"/>
      </w:pPr>
      <w:r>
        <w:t>Regeste</w:t>
      </w:r>
    </w:p>
    <w:p>
      <w:r>
        <w:t>GESTION DÉLOYALE, ABUS DE CONFIANCE, CLASSEMENT DE LA PROCÉDURE | 138 CP, 158 CP, 319 CPP (CH), 393 al. 1 let. a CPP (CH)</w:t>
      </w:r>
    </w:p>
    <w:p>
      <w:pPr>
        <w:pStyle w:val="Heading2"/>
      </w:pPr>
      <w:r>
        <w:t>Erwägungen</w:t>
      </w:r>
    </w:p>
    <w:p>
      <w:r>
        <w:rPr>
          <w:b/>
        </w:rPr>
        <w:t>E. 1</w:t>
      </w:r>
    </w:p>
    <w:p>
      <w:r>
        <w:t>Une ordonnance de classement rendue par le Ministère public peut être attaquée par la voie du recours (art. 393 al. 1 let. a CPP [Code de procédure pénale suisse du 5 octobre 2007, RS 312.0]) auprès de la Chambre des recours pénale du Tribunal cantonal (art. 396 al. 1 CPP; art. 13 LVCPP [loi d’introduction du code de procédure pénale suisse; RSV 312.01]; art. 80 LOJV, [loi d’organisation judiciaire; RSV 173.01]), par le plaignant qui a qualité pour recourir (art. 382 al. 1 CPP). Le recours doit être adressé par écrit, dans un délai de dix jours dès la notification de la décision attaquée (art. 322 al. 2 CPP et art. 396 al. 1 CPP). En l’espèce, il ressort du procès-verbal des opérations que l’ordonnance attaquée a été envoyée au recourant, domicilié en France, le 4 avril 2014. Le recours, qui a été interjeté le 28 avril 2014, paraît donc tardif. Sur la base du dossier, il n’est toutefois pas possible à l’autorité d’établir la date à laquelle le recourant a reçu l’ordonnance. Cette question peut cependant rester indécise, dès lors que le recours, supposé recevable, doit de toute manière être rejeté pour les motifs exposés ci-après.</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(TF 6B_797/2013 du 27 mars 2014 c. 2.1). La possibilité de classer la procédure ne saurait toutefois être limitée à ce seul cas, car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w:t>
      </w:r>
    </w:p>
    <w:p>
      <w:r>
        <w:rPr>
          <w:b/>
        </w:rPr>
        <w:t>E. 3</w:t>
      </w:r>
    </w:p>
    <w:p>
      <w:r>
        <w:t>a) Aux termes de l’art. 138 ch. 1 al. 2 CP, se rend coupable d’abus de confiance celui qui, sans droit, aura employé à son profit ou au profit d’un tiers des valeurs patrimoniales qui lui avaient été confiées. L’abus de confiance au sens de cette disposition protège le droit de celui qui a confié les valeurs patrimoniales à ce que celles-ci soient utilisées dans le but qu’il a assigné et conformément aux instructions qu’il a données (ATF 129 IV 257 c. 2.2.1). Selon l'art. 158 ch. 1 al. 1 CP, se rend coupable de gestion déloyale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Cette infraction suppose notamment que l'auteur ait violé une obligation liée à la gestion confiée. Il ne suffit pas que l’auteur transgresse une quelconque obligation de nature pécuniaire à l’égard de la personne dont il gère tout ou partie des intérêts patrimoniaux. La violation d’un simple devoir général de restituer ou de rendre des comptes ne suffit pas en soi. La question de savoir s’il y a violation de telles obligations implique de déterminer le contenu spécifique des devoirs incombant au gérant et s’examine au regard des rapports juridiques qui lient celui-ci aux titulaires des intérêts pécuniaires qu’il administre (Dupuis et alii, Code pénal, Petit commentaire, Bâle 2012, nn. 18 ss ad art. 158 CP et les références citées). b) En l’espèce, les arguments du procureur sont pertinents et son appréciation, à laquelle se réfère intégralement la cour de céans, ne prête pas le flanc à la critique. En effet, le recourant était pleinement conscient des risques inhérents au trading, puisqu’il a admis en avoir été informé par le prévenu. La prise de risque assumée par A.________ était donc conforme aux règles applicables dans ce type d’opérations financières, de sorte qu’il est exclu de parler de violation d’un devoir de gestion au sens de l’art. 158 CP. Une telle violation ne peut être admise du seul fait que le comportement adopté par le gérant se révèle ultérieurement préjudiciable. Pour les mêmes motifs, on ne saurait considérer qu’A.________ a commis un abus de confiance au sens de l’art. 138 CP. Il n’a en effet pas utilisé l’argent confié en violant les instructions reçues et en les détournant de la destination fixée. Cela est d’autant plus avéré que le recourant pouvait réclamer à la fin de chaque mois tout ou partie des bénéfices. Il avait en outre dès le départ un accès aux données de son compte. On ne saurait par conséquent reprocher à A.________ l’inaction du recourant, ni le dysfonctionnement des codes d’accès au compte via Internet. Compte tenu de l’ensemble de ces éléments, aucune infraction pénale ne peut être retenue à l’encontre d’A.________. Le fait que ce dernier ait déjà été condamné en France pour abus de confiance ou qu’il fasse l’objet d’une autre enquête en Suisse n’y change rien. Le litige entre les parties apparaît donc d’ordre exclusivement civil. Au vu de ce qui précède, le classement de la procédure dirigée contre A.________ pour abus de confiance et gestion déloyale est bien fondé.</w:t>
      </w:r>
    </w:p>
    <w:p>
      <w:r>
        <w:rPr>
          <w:b/>
        </w:rPr>
        <w:t>E. 4</w:t>
      </w:r>
    </w:p>
    <w:p>
      <w:r>
        <w:t>En définitive, le recours doit être rejeté dans la mesure où il est recevable (cf. c. 1 supra) et l’ordonnance attaquée confirmée. Les frais de la procédure de recours, constitués en l’espèce du seul émolument d'arrêt (art. 422 al. 1 CPP), par 770 fr. (art. 20 al. 1 TFIP [tarif des frais de procédure et indemnités en matière pénale du 28 septembre 2010; RSV 312.03.1]), seront mis à la charge du recourant, qui succombe (art. 428 al. 1 CPP). Le montant de 440 fr. déjà versé par le recourant à titre de sûretés sera imputé sur les frais mis à sa charge (art. 7 TFIP). Par ces motifs, la Chambre des recours pénale, statuant à huis clos, prononce : I. Le recours est rejeté dans la mesure où il est recevable. II. L’ordonnance du 24 mars 2014 est confirmée. III. Les frais d’arrêt, par 770 fr. (sept cent septante francs), sont mis à la charge de R.________. IV. Le montant de 440 fr. (quatre cent quarante francs) déjà versé par le recourant à titre de sûretés est imputé sur les frais mis à sa charge au chiffre III ci-dessus. V. Le présent arrêt est exécutoire. Le président :               La greffière : Du L'arrêt qui précède, dont la rédaction a été approuvée à huis clos, est notifié, par l'envoi d'une copie complète, à : - M. R.________, - M. A.________, sans domicile connu, ne peut être avisé, - Ministère public central; et communiqué à : ‑ M. Albert J. Graf, avocat (pour R.________),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