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760 vom 13. Juni 2014</w:t>
      </w:r>
    </w:p>
    <w:p>
      <w:r>
        <w:t>VD Tribunal cantonal, 2014-06-13, FR</w:t>
      </w:r>
    </w:p>
    <w:p>
      <w:r>
        <w:rPr>
          <w:b/>
        </w:rPr>
        <w:t xml:space="preserve">Quelle: </w:t>
      </w:r>
      <w:r>
        <w:t>https://mcp.opencaselaw.ch/entscheid/vd_findinfo_D_cision___2014___760</w:t>
      </w:r>
    </w:p>
    <w:p>
      <w:r>
        <w:t>FR: VD_FINDINFO Décision / 2014 / 760 du 13 juin 2014</w:t>
      </w:r>
    </w:p>
    <w:p>
      <w:r>
        <w:t>IT: VD_FINDINFO Décision / 2014 / 760 del 13 giugno 2014</w:t>
      </w:r>
    </w:p>
    <w:p>
      <w:pPr>
        <w:pStyle w:val="Heading2"/>
      </w:pPr>
      <w:r>
        <w:t>Regeste</w:t>
      </w:r>
    </w:p>
    <w:p>
      <w:r>
        <w:t>CLASSEMENT DE LA PROCÉDURE, APPRÉCIATION DES PREUVES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2.2</w:t>
      </w:r>
    </w:p>
    <w:p>
      <w:r>
        <w:t>En l'espèce, le Procureur peut être suivi lorsqu’il retient que l’instruction n’a pas permis d’établir qu’Y.________ aurait frappé son beau-frère, ni qu’il ne l’aurait injurié ou menacé. En effet, il ressort de l’instruction qu’il existe assurément des litiges familiaux – et en particulier entre les deux parties – depuis de longues années. Toutefois, s’agissant des faits survenus le 28 mai 2013 dans l’appartement du père du recourant, à Rolle, les versions des parties sont contradictoires et les témoignages des deux seules personnes présentes au moment de l’altercation, soit le père et la sœur du recourant, n’amènent aucun élément susceptible de fonder le soupçon d’un comportement pénalement répréhensible. En particulier, les témoins ont tous deux contesté avoir vu des coups ou entendu des injures ou des menaces. Au surplus, comme l'a relevé à juste titre le Ministère public, X.________ n’a produit ni certificat médical, ni photographies qui auraient pu attester de ses blessures. Enfin, aucune mesure d’instruction complémentaire n’apparaît susceptible d’établir davantage les faits qui se sont déroulés le 28 mai 2013. Au vu de l’ensemble des considérations qui précèdent, aucun élément ne permet d’établir qu’Y.________ aurait frappé, injurié ou menacé le recourant et le classement de la procédure dirigée contre Y.________ est bien fondé.</w:t>
      </w:r>
    </w:p>
    <w:p>
      <w:r>
        <w:rPr>
          <w:b/>
        </w:rPr>
        <w:t>E. 3</w:t>
      </w:r>
    </w:p>
    <w:p>
      <w:r>
        <w:t>En définitive, le recours doit être rejeté sans autre échange d’écritures (art. 390 al. 2 CPP) et l'ordonnance du 25 avril 2014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 ils seront compensés avec le montant de 440 fr. déjà versé à titre de sûretés (art. 7 TFIP). Par ces motifs, la Chambre des recours pénale, statuant à huis clos, prononce : I. Le recours est rejeté. II. L'ordonnance du 25 avril 2014 est confirmée. III. Les frais de la procédure de recours, par 550 fr. (cinq cent cinquante francs), sont mis à la charge du recourant.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X.________, ‑ M.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