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759 vom 3. September 2014</w:t>
      </w:r>
    </w:p>
    <w:p>
      <w:r>
        <w:t>VD Tribunal cantonal, 2014-09-03, FR</w:t>
      </w:r>
    </w:p>
    <w:p>
      <w:r>
        <w:rPr>
          <w:b/>
        </w:rPr>
        <w:t xml:space="preserve">Quelle: </w:t>
      </w:r>
      <w:r>
        <w:t>https://mcp.opencaselaw.ch/entscheid/vd_findinfo_D_cision___2014___759</w:t>
      </w:r>
    </w:p>
    <w:p>
      <w:r>
        <w:t>FR: VD_FINDINFO Décision / 2014 / 759 du 3 septembre 2014</w:t>
      </w:r>
    </w:p>
    <w:p>
      <w:r>
        <w:t>IT: VD_FINDINFO Décision / 2014 / 759 del 3 settembre 2014</w:t>
      </w:r>
    </w:p>
    <w:p>
      <w:pPr>
        <w:pStyle w:val="Heading2"/>
      </w:pPr>
      <w:r>
        <w:t>Regeste</w:t>
      </w:r>
    </w:p>
    <w:p>
      <w:r>
        <w:t>OPPOSITION{PROCÉDURE}, ORDONNANCE DE CONDAMNATION, FICTION DE LA NOTIFICATION | 88 al. 1 let. a CPP (CH), 88 al. 4 CPP (CH)</w:t>
      </w:r>
    </w:p>
    <w:p>
      <w:pPr>
        <w:pStyle w:val="Heading2"/>
      </w:pPr>
      <w:r>
        <w:t>Erwägungen</w:t>
      </w:r>
    </w:p>
    <w:p>
      <w:r>
        <w:rPr>
          <w:b/>
        </w:rPr>
        <w:t>E. 27</w:t>
      </w:r>
    </w:p>
    <w:p>
      <w:r>
        <w:t>août 2013 était exécutoire (II) et a dit que la décision était rendue sans frais (III). C. Le 1 er août 2014, M.________, qui est détenu depuis le 15 juillet 2014 pour les faits retenus dans l’ordonnance pénale du 27 août 2013, a recouru contre ce prononcé. Il n'a pas été ordonné d'échange d'écritures. En droit : 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le prévenu qui a qualité pour recourir (art. 382 al. 1 CPP) et dans les formes prescrites (art. 385 al. 1 CPP). Il est donc recevable. 2. a) 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 b) En l’espèce, M.________ a signé de sa main, qui plus est au pied de chaque page, ses procès-verbaux d’audition comportant, comme adresse de domicile, celle de son amie, chez qui il prétendait séjourner en vue de leur mariage (PV aud. 8, R. 4). Il a indiqué la même adresse sur le formulaire l’informant de ses droits et obligations. Or, une première ordonnance de séquestre envoyée le 14 août 2013 à cette adresse est revenue en retour avec la mention "le destinataire est introuvable à l’adresse indiquée". Une seconde ordonnance de séquestre envoyée le 25 octobre 2013 est revenue en retour avec la même mention. Le greffe du Ministère public s’est alors informé auprès du Registre cantonal des personnes, où il a été constaté que le prévenu était domicilié au Centre EVAM, à [...]. L’ordonnance de séquestre lui a dès lors été renvoyée à cette adresse, mais elle est revenue en retour avec la mention "le destinataire est introuvable à l’adresse indiquée". Partant, l’ordonnance pénale n’a pas pu être notifiée au prévenu par la voie postale, faute de domicile connu, et l’on ne voit pas quelles recherches raisonnables le Parquet aurait pu entreprendre en plus pour localiser le destinataire (art. 88 al. 1 let. a CPP). Bien plutôt, dès lors qu’il se savait faire l’objet d’une procédure pénale, il appartenait au prévenu de prendre toutes ses dispositions pour que les communications et notifications de l’autorité puissent lui parvenir. On se trouve donc bien dans la situation de l’art. 88 al. 1 let. a CPP et la fiction de notification de l’ordonnance pénale de l’art. 88 al. 4 CPP s’applique dès lors au cas d’espèce. L’opposition formée le 27 juillet 2014 est donc manifestement tardive. c) C’est donc à bon droit que le Président du Tribunal d’arrondissement de Lausanne a déclaré l’opposition irrecevable et a constaté que l’ordonnance pénale du 27 août 2013, assimilée à un jugement entré en force (art. 354 al. 3 CPP), était exécutoire. 3. Il résulte de ce qui précède que le recours, manifestement mal fondé, doit être rejeté sans autres échanges d’écritures (art. 390 al. 2 CPP) et le prononcé du 31 juillet 2014 confirmé.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31 juillet 2014 est confirmé. III. Les frais de la procédure de recours, par 550 fr. (cinq cent cinquante francs), sont mis à la charge de M.________. IV. Le présent arrêt est exécutoire. Le vice-président : Le greffier : Du L'arrêt qui précède, dont la rédaction a été approuvée à huis clos, est notifié, par l'envoi d'une copie complète, à : - M. M.________, - Ministère public central, et communiqué à : ‑ M. le Président du Tribunal de police de l’arrondissement de Lausanne, - M. le Procureur de l’arrondissement de Lausanne, - Office d’exécution des peines, - Prison du Bois-Mermet,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