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756 vom 4. September 2014</w:t>
      </w:r>
    </w:p>
    <w:p>
      <w:r>
        <w:t>VD Tribunal cantonal, 2014-09-04, FR</w:t>
      </w:r>
    </w:p>
    <w:p>
      <w:r>
        <w:rPr>
          <w:b/>
        </w:rPr>
        <w:t xml:space="preserve">Quelle: </w:t>
      </w:r>
      <w:r>
        <w:t>https://mcp.opencaselaw.ch/entscheid/vd_findinfo_D_cision___2014___756</w:t>
      </w:r>
    </w:p>
    <w:p>
      <w:r>
        <w:t>FR: VD_FINDINFO Décision / 2014 / 756 du 4 septembre 2014</w:t>
      </w:r>
    </w:p>
    <w:p>
      <w:r>
        <w:t>IT: VD_FINDINFO Décision / 2014 / 756 del 4 settembre 2014</w:t>
      </w:r>
    </w:p>
    <w:p>
      <w:pPr>
        <w:pStyle w:val="Heading2"/>
      </w:pPr>
      <w:r>
        <w:t>Regeste</w:t>
      </w:r>
    </w:p>
    <w:p>
      <w:r>
        <w:t>DÉTENTION PROVISOIRE, PROLONGATION, RISQUE DE RÉCIDIVE, SOUPÇON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Le recourant conteste tout d'abord l'existence de soupçons de culpabilité suffisants.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l'espèce, le recourant reconnaît une partie des faits, mais tente de minimiser sa responsabilité, en particulier dans le brigandage du 22 février 2014 (cf. acte de recours et PV aud. du recourant du 31 juillet 2014). Il conteste notamment l'usage d'une arme et le recours, en ce qui le concerne, à la violence physique. Il conteste également être impliqué dans le cambriolage du 14 février 2014. Dans les deux cas, il se prévaut du fait que sa main était alors plâtrée et prétend avoir été "hospitalisé" pour ce motif le 19 février 2014. Le recourant est cependant clairement mis en cause par C.________ (cf. spéc. PV aud. du 31 juillet 2014) et P.________ (cf. spéc. PV aud. du 8 août 2014). Quant à l'hospitalisation évoquée par le recourant, il ressort d'un document établi le 4 mars 2014 par le CHUV (P. 168/3) qu'il ne s'agissait que d'une consultation de contrôle. S'agissant du cas de brigandage, qui paraît être l'acte le plus grave, le rôle actif du recourant est accrédité par les déclarations de ses comparses présumés et par celles de la victime présumée, qui affirme notamment que le recourant avait sorti un couteau (PV aud. [...] du 27 février 2014, réponse 5). Il n'appartient pas à la Cour de céans de déterminer le rôle exact de chacune des personnes en cause dans chacun des épisodes délictueux qui leur sont reprochés. Elle peut se borner à constater qu'outre les aveux partiels du recourant et les mises en cause mutuelles des trois prévenus, de nombreux indices, en particulier des traces ADN et le fait qu'une part du butin a pu être retrouvée grâce aux indications de C.________ (cf. PV aud. C.________ du 13 mai 2014; rapport d'investigation du 17 juin 2014, spéc. p. 12), conduisent à soupçonner le recourant, C.________ et P.________ de s'être livrés ensemble à une intense activité délictueuse au mois de février 2014. Au vu de ce qui précède, les soupçons à l'encontre du recourant sont suffisamment forts pour justifier son maintien en détention provisoire.</w:t>
      </w:r>
    </w:p>
    <w:p>
      <w:r>
        <w:rPr>
          <w:b/>
        </w:rPr>
        <w:t>E. 2.3</w:t>
      </w:r>
    </w:p>
    <w:p>
      <w:r>
        <w:t>Le recourant conteste en outre l'existence de risques fondant la détention. Le Tribunal des mesures de contrainte a retenu l'existence d'un risque de collusion et d'un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l'espèce, le recourant est soupçonné d'avoir commis de multiples actes délictueux en l'espace d'une dizaine de jours. En outre, s'il s'agit essentiellement d'infractions contre le patrimoine, il est également question d'un recours à la violence physique ou à tout le moins à la menace. Par ailleurs, si le recourant est bien l'auteur des actes qui lui sont reprochés, il a agi alors qu'il savait qu'une instruction pénale était déjà ouverte à son encontre pour les faits du 13 novembre 2013 (cf. rapport d'investigation du 20 janvier 2014). Enfin, le recourant, qui admet consommer des stupéfiants, des médicaments et de l'alcool, aurait commis les infractions en cause alors qu'il était salarié, au bénéfice d'un contrat de durée indéterminée. Considérés ensemble, ces éléments rendent très concret le risque de réitération. Les risques fondant la détention provisoire étant des motifs alternatifs, la question de l’existence d’un éventuel risque de fuite ou de collusion peut demeurer indécise, dès lors que la détention est justifiée par le risque de réitération.</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au vu du nombre d'actes reprochés au recourant et de la gravité de certains d'entre eux, la durée de la détention avant jugement subie à ce jour, de neuf mois à l'issue de la prolongation requise par le Ministère public, ne s’approche pas encore de la durée de la peine privative de liberté à laquelle il faudrait s’attendre concrètement en cas de condamnation.</w:t>
      </w:r>
    </w:p>
    <w:p>
      <w:r>
        <w:rPr>
          <w:b/>
        </w:rPr>
        <w:t>E. 4</w:t>
      </w:r>
    </w:p>
    <w:p>
      <w:r>
        <w:t>Le tribunal compétent ordonne une ou plusieurs mesures moins sévères en lieu et place de la détention si ces mesures permettent d’atteindre le même but que la détention (art. 237 al. 1 CPP). En l'espèce, le recourant déclare accepter que sa libération soit assortie à une mesure de substitution, soit l'obligation de se soumettre à un traitement médical et de retourner à son travail, sans formuler de proposition plus précise. Il apparaît cependant qu'aucune mesure de substitution n'est à même de prévenir le risque retenu.</w:t>
      </w:r>
    </w:p>
    <w:p>
      <w:r>
        <w:rPr>
          <w:b/>
        </w:rPr>
        <w:t>E. 5</w:t>
      </w:r>
    </w:p>
    <w:p>
      <w:r>
        <w:t>En définitive, le recours doit être rejeté sans autre échange d’écritures (art. 390 al. 2 CPP) et l'ordonnance du 19 août 2014 confirmée. Les frais de la procédure de recours, constitués en l'espèce uniquement de l'émolument d’arrêt,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19 août 2014 est confirmée. III. Les frais de la procédure de recours, par 880 fr. (huit cent huitante francs), sont mis à la charge de G.________. IV. Le présent arrêt est exécutoire. Le président :               Le greffier : Du L'arrêt qui précède, dont la rédaction a été approuvée à huis clos, est notifié, par l'envoi d'une copie complète, à : - M. G.________, - Ministère public central, et communiqué à : ‑ M. Amédée Kasser, avocat,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