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755 vom 22. Oktober 2010</w:t>
      </w:r>
    </w:p>
    <w:p>
      <w:r>
        <w:t>VD Tribunal cantonal, 2010-10-22, FR</w:t>
      </w:r>
    </w:p>
    <w:p>
      <w:r>
        <w:rPr>
          <w:b/>
        </w:rPr>
        <w:t xml:space="preserve">Quelle: </w:t>
      </w:r>
      <w:r>
        <w:t>https://mcp.opencaselaw.ch/entscheid/vd_findinfo_D_cision___2014___755</w:t>
      </w:r>
    </w:p>
    <w:p>
      <w:r>
        <w:t>FR: VD_FINDINFO Décision / 2014 / 755 du 22 octobre 2010</w:t>
      </w:r>
    </w:p>
    <w:p>
      <w:r>
        <w:t>IT: VD_FINDINFO Décision / 2014 / 755 del 22 ottobre 2010</w:t>
      </w:r>
    </w:p>
    <w:p>
      <w:pPr>
        <w:pStyle w:val="Heading2"/>
      </w:pPr>
      <w:r>
        <w:t>Regeste</w:t>
      </w:r>
    </w:p>
    <w:p>
      <w:r>
        <w:t>PLAN D'EXÉCUTION DES PEINES, INTÉRÊT ACTUEL | 75 al. 3 CP, 84 al. 6 CP, 84 CP</w:t>
      </w:r>
    </w:p>
    <w:p>
      <w:pPr>
        <w:pStyle w:val="Heading2"/>
      </w:pPr>
      <w:r>
        <w:t>Erwägungen</w:t>
      </w:r>
    </w:p>
    <w:p>
      <w:r>
        <w:rPr>
          <w:b/>
        </w:rPr>
        <w:t>E. 1</w:t>
      </w:r>
    </w:p>
    <w:p>
      <w:r>
        <w:t>a) L’art. 36 al. 1 LEP (loi du 4 juillet 2006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Selon l'art. 38 al. 2 LEP, la procédure est régie par les dispositions prévues aux art. 393 ss CPP (Code de procédure pénale suisse; RS 312.0).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bien que dépourvu de conclusions explicites. Partant, il y a lieu d’entrer en matière, sous réserve toutefois des considérants ci-dessous relatifs à l’intérêt actuel au recours.</w:t>
      </w:r>
    </w:p>
    <w:p>
      <w:r>
        <w:rPr>
          <w:b/>
        </w:rPr>
        <w:t>E. 2</w:t>
      </w:r>
    </w:p>
    <w:p>
      <w:r>
        <w:t>Le recourant soutient notamment que la décision rendue par le Juge d’application des peines serait disproportionnée et inopportune dans la mesure où elle ferait fi de son bon comportement en détention. a) Aux termes de l’art. 75 al. 3 CP (Code pénal; RS 311.0), le règlement de l'établissement (d’exécution des peines privatives de liberté, réd .)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Selon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Les cantons sont compétents pour fixer la nature et la durée du congé, ainsi que pour concrétiser les conditions posées par le droit fédéral (Dupuis/Geller/Monnier/ Moreillon/Piguet/Bettex/Stoll [éd.], Petit commentaire CP, Bâle 2012, n. 19 ad art. 84 CP). A cet égard, l’art. 96 al. 2 RSC (règlement sur le statut des condamnés exécutant une peine privative de liberté et les régimes de détention applicables; RSV 340.01.1) prévoit que le congé ou la permission doit en outre s'inscrire dans le plan d'exécution de peine. b) En l’espèce, il doit tout d’abord être constaté que la seule date pour laquelle le congé a été demandé par l’acte du 12 juillet 2014, soit le 21 août 2014, était échue lors de la saisine de la cour de céans. Dans cette mesure, le recours n’a pas d’objet faute de tout intérêt actuel. Cela étant, comme le Tribunal fédéral en a statué sous l’angle de l'art. 89 al. 1 LTF (loi sur le Tribunal fédéral; RS 173.110), l'intérêt digne de protection du recourant peut exceptionnellement être admis abstraction faite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 1.3.1 p. 25 et la jurisprudence citée; TF arrêt 1C_9/2012 du 7 mai 2012 c. 1.2). Dans le cas particulier, il convient d’admettre que le condamné est susceptible de déposer de nouvelles demandes de congé avant le début de la phase du plan d’exécution de la sanction prévoyant l’instauration de conduites (phase 4). On peut en effet s’attendre à ce qu’il sollicite notamment de fêter à l’extérieur d’autres anniversaires de membres de sa parenté, en particulier celui de son fils, le 21 août 2015. Dans cette mesure, le recours n’est pas dépourvu d’objet, s’agissant d’une contestation pouvant se reproduire en tout temps dans des circonstances identiques ou analogues, du moins si le comportement du condamné devait ne pas changer essentiellement. c) A l’aune des critères de l’art. 84 al. 6 CP, l’appréciation criminologique du condamné reste préoccupante, surtout quant au risque de réitération et, partant, d’atteinte à la sécurité publique. En effet, il ressort du dossier que le recourant peine à prendre conscience de la gravité des infractions à raison desquelles il a été condamné. Aussi bien, il persiste à minimiser le danger que constituent les drogues illicites pour la santé et la sécurité publiques. Ce facteur implique un risque de réitération caractérisé, renforcé encore par le fait que le condamné ne formule, en l’état, aucun projet d’avenir conforme à sa situation socio-économique et que son autorisation d’établissement a été révoquée. C’est dès lors en vain qu’il se prévaut de ce qu’il n’a pas été condamné pour des infractions contre la vie et l’intégrité corporelle. Bien plutôt, c’est précisément en raison du manque d’amendement du condamné et compte tenu de sa situation personnelle ainsi que de la quotité de la peine privative de liberté prononcée que le plan d’exécution de la sanction prévoit un échelonnement progressif des élargissements de régime. Ce régime est assurément indiqué pour un criminel aussi aguerri que le condamné et la faveur sollicitée n’y trouve pour l’heure pas place nonobstant le bon comportement de l’intéressé en détention. La constatation de l'existence du risque de réitération découlant du manque d’amendement et de la situation personnelle du condamné dispense d'examiner si le risque de fuite est réalisé, les critères du risque de fuite et de réitération déduits de l’art. 84 al.</w:t>
      </w:r>
    </w:p>
    <w:p>
      <w:r>
        <w:rPr>
          <w:b/>
        </w:rPr>
        <w:t>E. 6</w:t>
      </w:r>
    </w:p>
    <w:p>
      <w:r>
        <w:t>CP étant alternatifs et non cumulatifs. 3. En définitive, le recours doit être rejeté et le prononcé sur recours administratif rendu le 20 août 2014 par le Juge d’application des peines confirmé. La requête tendant à la désignation d’un défenseur d’office pour la procédure de recours doit également être rejetée, dès lors que le recours apparaissait d’emblée dénué de chances de succès (Harari/Aliberti, in : Kuhn/ Jeanneret [éd.], Code de procédure pénale suisse, Commentaire romand, Bâle 2011, n. 41 ad art. 132 CPP; Ruckstuhl, in : Niggli/Heer/Wiprächtiger [éd.], Schweizerische Strafprozessordnung, Basler Kommentar, Bâle 2011, n. 10 ad art. 132 CPP; CREP 7 août 2014/540; CREP 18 décembre 2013/727 c. 7; CREP 4 janvier 2013/26; CREP 23 mai 2012/255 c. 4; CREP 19 mars 2012/244 c. 3) et que, de surcroît, la cause apparaissait dépourvue de toute difficulté.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dans la mesure où il n’est pas sans objet. II. Le prononcé sur recours administratif du 20 août 2014 est confirmé. III. La requête de désignation d’un défenseur d’office pour la procédure de recours est rejetée. IV. Les frais d’arrêt, par 770 fr. (sept cent septante francs), sont mis à la charge de K.________. V. Le présent arrêt est exécutoire. Le président :               Le greffier : Du L'arrêt qui précède, dont la rédaction a été approuvée à huis clos, est notifié, par l'envoi d'une copie complète, à : - M. K.________, - Ministère public central, division affaires spéciales, contrôle et mineurs; et communiqué à : - M. le Juge d’application des peines, - Office d’exécution des peines (réf : OEP/PPL/68742/AVI/BD),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