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752 vom 18. August 2014</w:t>
      </w:r>
    </w:p>
    <w:p>
      <w:r>
        <w:t>VD Tribunal cantonal, 2014-08-18, FR</w:t>
      </w:r>
    </w:p>
    <w:p>
      <w:r>
        <w:rPr>
          <w:b/>
        </w:rPr>
        <w:t xml:space="preserve">Quelle: </w:t>
      </w:r>
      <w:r>
        <w:t>https://mcp.opencaselaw.ch/entscheid/vd_findinfo_D_cision___2014___752</w:t>
      </w:r>
    </w:p>
    <w:p>
      <w:r>
        <w:t>FR: VD_FINDINFO Décision / 2014 / 752 du 18 août 2014</w:t>
      </w:r>
    </w:p>
    <w:p>
      <w:r>
        <w:t>IT: VD_FINDINFO Décision / 2014 / 752 del 18 agosto 2014</w:t>
      </w:r>
    </w:p>
    <w:p>
      <w:pPr>
        <w:pStyle w:val="Heading2"/>
      </w:pPr>
      <w:r>
        <w:t>Regeste</w:t>
      </w:r>
    </w:p>
    <w:p>
      <w:r>
        <w:t>CLASSEMENT DE LA PROCÉDURE, SOUPÇON, VOL{DROIT PÉNAL}, VIOLATION DE DOMICILE, DOMMAGES À LA PROPRIÉTÉ{DROIT PÉNAL}, MOTIVATION DE LA DÉCISION |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Respectant les formes prescrites (art. 385 al. 1 CPP) et déposé dans le délai légal par la partie plaignante qui a qualité pour recourir (art. 382 al. 1 CPP), le recours est recevable.</w:t>
      </w:r>
    </w:p>
    <w:p>
      <w:r>
        <w:rPr>
          <w:b/>
        </w:rPr>
        <w:t>E. 2</w:t>
      </w:r>
    </w:p>
    <w:p>
      <w:r>
        <w:t>a) Le recourant soutient en bref que le Ministère public n'aurait pas dû classer la procédure pénale car les soupçons présenteraient le degré de sérieux justifiant une mise en accusation. Invoquant une violation de son droit d'être entendu, il fait en outre grief au Procureur de ne pas avoir suffisamment motivé la décision contestée. b) Selon l’art. 319 al. 1 CPP, le ministère public ordonne le classement de tout ou partie de la procédure notamment lorsqu'aucun soupçon justifiant une mise en accusation n'est établi ou lorsque les éléments constitutifs d'une infraction ne sont pas réunis.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Ce principe vaut également pour l'autorité judiciaire chargée de l'examen d'une décision de classement (sur ces questions, cf. ATF 138 IV 86 c. 4.1.1 et les références citées; ATF 138 IV 186).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(ATF 138 IV 86 précité, c. 4.1.2). c) En l’espèce, le litige entre les parties a certes un caractère civil évident, comme le recourant l’a d’ailleurs lui-même relevé dans son complément de plainte (P. 6/1), mais toute infraction pénale n’apparaît pas pour autant d’emblée exclue, notamment en ce qui concerne la violation de domicile, les dommages à la propriété et le vol ou l’appropriation illégitime. En effet, force est de constater, s’agissant des faits, que certains points sont admis par le prévenu. En premier lieu, celui-ci reconnaît avoir pénétré dans l’ancien appartement occupé par S.________, situé dans le G.________, alors qu’il savait que le plaignant était hospitalisé. Il admet également avoir forcé le coffre-fort situé dans l’appartement, avoir pris l’argent qui s’y trouvait et l’avoir entreposé chez lui dans l’intention de le verser ensuite sur le compte de la société. Pour toute défense, il se borne à soutenir que le bail à loyer de S.________ avait été valablement résilié, que, par conséquent, il était en droit, au terme du délai de 48 heures qui avait été accordé à ce dernier pour quitter les lieux, de pénétrer dans l’appartement et que l’argent qui s’y trouvait appartenait à la société et non au plaignant puisqu’il provenait du restaurant. Pris ensemble, ces faits, qui correspondent d’ailleurs à la description qu’en a faite W.________, donnent une certaine crédibilité à la version du plaignant. En revanche, la version du prévenu – retenue par le Procureur – selon laquelle S.________ n’aurait pas donné suite aux propositions que la société G.________ SA lui aurait faites de venir récupérer toutes ses affaires personnelles, y compris ses tableaux, se heurtent aux explications du plaignant, qui conteste avoir pu reprendre ses tableaux dans la mesure où l’accès à son appartement lui aurait été refusé (recours, pp. 4 et 5). Les déclarations du recourant à cet égard ne peuvent d’emblée être écartées. On peut en effet être surpris que, si S.________ avait été autorisé à entrer dans son appartement, comme le prétend l’intimé (PV aud. 1, p. 5; PV aud. 4, lignes 73 et 74), il n’ait pas repris ses tableaux, d’une valeur estimée à plusieurs dizaines de milliers de francs (PV aud. 4, lignes 70 à 73). D’ailleurs, W.________ a, lors de son audition le 6 octobre 2011, soit deux jours après le passage du plaignant au G.________, prétendu que ces tableaux "appartenaient désormais à [...]" (ndlr : G.________ SA), ce qui contredit au surplus les explications de A.________ selon lesquelles il aurait dit à W.________ "de ne laisser personne d’autre que S.________ récupérer ces tableaux" (PV aud. 1, p. 4). En suivant la version de W.________, il est difficile d'expliquer pourquoi le plaignant aurait récupéré ses affaires personnelles, dont un lit (PV aud. 4, lignes 66 à 68), mais aurait néanmoins laissé les tableaux derrière lui. Enfin, il existe des contradictions dans les déclarations de A.________ concernant la voiture du plaignant, dont ce dernier réclame également la restitution. En effet, le prévenu a d’abord affirmé que le recourant pouvait venir récupérer son véhicule (P. 9, p. 6 in fine ), avant de soutenir que celui-ci avait été racheté par la société en même temps que le G________ (PV aud. 1, R. 6, p. 5), ce qui est contesté (P. 33/1). Ces divers éléments constituent autant d’indices de la consistance des soupçons à l’encontre du prévenu. Ils doivent être éclaircis. D’ailleurs, force est d’admettre que la motivation de l’ordonnance attaquée est lacunaire sur les points susmentionnés, du reste évoqués par le recourant (P. 25/1, 33/1, 48/1), et aucune explication concrète n’a été formulée s’agissant notamment des contradictions relevées par les enquêteurs (P. 9, p. 6 in fine ), le Procureur décrivant par ailleurs les faits de manière trop succincte, ce qui implique également une constatation incomplète des faits. Ainsi, faute d’avoir examiné sérieusement les diverses questions soulevées, le Procureur ne pouvait, sur la base de l’état de fait complété dans la mesure décrite ci-avant (let. A), écarter totalement, à ce stade, toute infraction à la charge de l’intimé. Il s’ensuit que l’instruction doit être poursuivie, afin de déterminer si A.________ a contrevenu à des dispositions pénales.</w:t>
      </w:r>
    </w:p>
    <w:p>
      <w:r>
        <w:rPr>
          <w:b/>
        </w:rPr>
        <w:t>E. 3</w:t>
      </w:r>
    </w:p>
    <w:p>
      <w:r>
        <w:t>Au vu de ce qui précède, le recours sera admis. L’ordonnance de classement du 9 mai 2014 sera annulée et le dossier de la cause renvoyé au Ministère public pour qu’il procède dans le sens des considérants. Les frais de la procédure de recours, constitués de l’émolument d'arrêt, par 880 fr. (art. 20 al. 1 TFIP [tarif des frais judiciaires de procédure et indemnités en matière pénale du 28 septembre 2010; RSV 312.03.1]), ainsi que de l'indemnité due au conseil juridique gratuit du recourant, par 720 fr., plus la TVA par 57 fr. 60, soit 777 fr. 60 au total, seront laissés à la charge de l’Etat (art. 428 al. 4 CPP). Par ces motifs, la Chambre des recours pénale, statuant à huis clos, prononce : I. Le recours est admis. II. L’ordonnance du 9 mai 2014 est annulée. III. Le dossier est renvoyé au Ministère public de l’arrondissement de l’Est vaudois pour qu’il procède dans le sens des considérants. IV. L’indemnité allouée au conseil juridique gratuit de S.________ est fixée à 777 fr. 60 (sept cent septante-sept francs et soixante centimes). V. Les frais d’arrêt, par 880 fr. (huit cent huitante francs), ainsi que l’indemnité allouée au conseil juridique gratuit de S.________, par 777 fr. 60 (sept cent septante-sept francs et soixante centimes), sont laissés à la charge de l’Etat. VI. Le présent arrêt est exécutoire. Le président :               Le greffier : Du L'arrêt qui précède, dont la rédaction a été approuvée à huis clos, est notifié, par l'envoi d'une copie complète, à : - M. François Gillard, avocat (pour S.________), - M. Félix Paschoud, avocat (pour 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