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746 vom 11. August 2014</w:t>
      </w:r>
    </w:p>
    <w:p>
      <w:r>
        <w:t>VD Tribunal cantonal, 2014-08-11, FR</w:t>
      </w:r>
    </w:p>
    <w:p>
      <w:r>
        <w:rPr>
          <w:b/>
        </w:rPr>
        <w:t xml:space="preserve">Quelle: </w:t>
      </w:r>
      <w:r>
        <w:t>https://mcp.opencaselaw.ch/entscheid/vd_findinfo_D_cision___2014___746</w:t>
      </w:r>
    </w:p>
    <w:p>
      <w:r>
        <w:t>FR: VD_FINDINFO Décision / 2014 / 746 du 11 août 2014</w:t>
      </w:r>
    </w:p>
    <w:p>
      <w:r>
        <w:t>IT: VD_FINDINFO Décision / 2014 / 746 del 11 agosto 2014</w:t>
      </w:r>
    </w:p>
    <w:p>
      <w:pPr>
        <w:pStyle w:val="Heading2"/>
      </w:pPr>
      <w:r>
        <w:t>Regeste</w:t>
      </w:r>
    </w:p>
    <w:p>
      <w:r>
        <w:t>CURATELLE, DÉCISION D'IRRECEVABILITÉ, CAPACITÉ DE DISCERNEMENT | 19 al. 1 CC, 110 CPP (CH), 385 CPP (CH)</w:t>
      </w:r>
    </w:p>
    <w:p>
      <w:pPr>
        <w:pStyle w:val="Heading2"/>
      </w:pPr>
      <w:r>
        <w:t>Erwägungen</w:t>
      </w:r>
    </w:p>
    <w:p>
      <w:r>
        <w:rPr>
          <w:b/>
        </w:rPr>
        <w:t>E. 1</w:t>
      </w:r>
    </w:p>
    <w:p>
      <w:r>
        <w:t>Un individu sous curatelle de portée générale est privé de l’exercice des droits civils (art. 398 CC). Il ne peut dès lors recourir en personne, s’agissant de l’exercice du droit à la défense dans une procédure pénale qui est un droit strictement personnel (ATF 68 IV 158), que s’il est capable de discernement (art. 19c al. 1 CC). En revanche, s’il est incapable de discernement, il doit être représenté par un curateur (art. 19c al. 2 CC et 106 al. 2 et 3 CPP).</w:t>
      </w:r>
    </w:p>
    <w:p>
      <w:r>
        <w:rPr>
          <w:b/>
        </w:rPr>
        <w:t>E. 2</w:t>
      </w:r>
    </w:p>
    <w:p>
      <w:r>
        <w:t>Par acte du 1 er mai 2014, M.________, qui est sous curatelle de portée générale, a recouru seul contre l’ordonnance rendue le 3 avril 2014 par le Préfet du district de la Riviera – Pays-d’Enhaut.</w:t>
      </w:r>
    </w:p>
    <w:p>
      <w:r>
        <w:rPr>
          <w:b/>
        </w:rPr>
        <w:t>E. 3</w:t>
      </w:r>
    </w:p>
    <w:p>
      <w:r>
        <w:t>Par avis du 10 juillet 2014, le Président de la Chambre des recours pénale a imparti au recourant un délai au 23 juillet 2014 pour produire un certificat médical attestant de sa capacité ou incapacité de discernement, ainsi que pour déposer un mémoire de recours – qui devrait être signé par lui-même s’il était capable de discernement et par sa curatrice s’il était incapable de discernement – motivé conformément aux exigences de l’art. 385 al. 1 CPP, avec l'indication qu'à défaut, il ne serait pas entré en matière sur son recours. Une copie de cet avis a été adressée à la curatrice du recourant. Dès lors que ni le recourant ni la curatrice de ce dernier n’ont procédé dans le délai imparti, le recours doit être déclaré irrecevable (art. 110 al. 4 et 385 al. 2 CPP).</w:t>
      </w:r>
    </w:p>
    <w:p>
      <w:r>
        <w:rPr>
          <w:b/>
        </w:rPr>
        <w:t>E. 4</w:t>
      </w:r>
    </w:p>
    <w:p>
      <w:r>
        <w:t>Les frais de la procédure de recours, constitués du seul émolument d'arrêt (art. 422 al. 1 CPP), par 330 fr. (art. 422 al. 1 CPP et 20 al. 1 TFIP [Tarif des frais de procédure et indemnités en matière pénale du 28 septembre 2010; RSV 312.03.1]), seront mis à la charge du recourant, qui succombe (art. 428 al. 1, 2 e phrase, CPP). Par ces motifs, la Chambre des recours pénale, statuant à huis clos, prononce : I. Le recours est irrecevable. II. Les frais d’arrêt, par 330 fr. (trois cent trente francs), sont mis à la charge de M.________. III. Le présent arrêt est exécutoire. Le président :               La greffière : Du L'arrêt qui précède, dont la rédaction a été approuvée à huis clos, est notifié, par l'envoi d'une copie complète, à : - M. M.________, - Ministère public central; et communiqué à : - Office des curatelles et tutelles professionnelles (à l’att. de Mme [...]), ‑ M. le Préfet du district de la Riviera – Pays-d’Enhaut,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