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736 vom 19. Mai 2014</w:t>
      </w:r>
    </w:p>
    <w:p>
      <w:r>
        <w:t>VD Tribunal cantonal, 2014-05-19, FR</w:t>
      </w:r>
    </w:p>
    <w:p>
      <w:r>
        <w:rPr>
          <w:b/>
        </w:rPr>
        <w:t xml:space="preserve">Quelle: </w:t>
      </w:r>
      <w:r>
        <w:t>https://mcp.opencaselaw.ch/entscheid/vd_findinfo_D_cision___2014___736</w:t>
      </w:r>
    </w:p>
    <w:p>
      <w:r>
        <w:t>FR: VD_FINDINFO Décision / 2014 / 736 du 19 mai 2014</w:t>
      </w:r>
    </w:p>
    <w:p>
      <w:r>
        <w:t>IT: VD_FINDINFO Décision / 2014 / 736 del 19 maggio 2014</w:t>
      </w:r>
    </w:p>
    <w:p>
      <w:pPr>
        <w:pStyle w:val="Heading2"/>
      </w:pPr>
      <w:r>
        <w:t>Regeste</w:t>
      </w:r>
    </w:p>
    <w:p>
      <w:r>
        <w:t>VIOLATION DE DOMICILE, CLASSEMENT DE LA PROCÉDURE | 186 CP, 319 CPP (CH), 393 al. 1 let. a CPP (CH)</w:t>
      </w:r>
    </w:p>
    <w:p>
      <w:pPr>
        <w:pStyle w:val="Heading2"/>
      </w:pPr>
      <w:r>
        <w:t>Erwägungen</w:t>
      </w:r>
    </w:p>
    <w:p>
      <w:r>
        <w:rPr>
          <w:b/>
        </w:rPr>
        <w:t>E. 1</w:t>
      </w:r>
    </w:p>
    <w:p>
      <w:r>
        <w:t>Interjeté dans le délai légal (art. 322 al. 2 CPP [Code de procédure pénale suisse du 5 octobre 2007; RS 312.0] et 396 al. 1 CPP) contre une décision du ministère public (art. 393 al. 1 let. a CPP), par la partie plaignante qui a qualité pour recourir (art. 382 al. 1 CPP) et dans les formes prescrites (art. 385 al. 1 CPP), le recours est recevable.</w:t>
      </w:r>
    </w:p>
    <w:p>
      <w:r>
        <w:rPr>
          <w:b/>
        </w:rPr>
        <w:t>E. 2</w:t>
      </w:r>
    </w:p>
    <w:p>
      <w:r>
        <w:t>CP). Il y a dol éventuel si l'auteur a accepté la violation de domicile comme étant une conséquence indifférente, voire même indésirable, mais certaine de son acte. Aucun dessein spécial n'est exigé (Dupuis et alii, op. cit., n. 34 ad art. 186 CP, p. 1127 et les références citées). b) En l’espèce, lors de son audition du 26 février 2014, le témoin H.________ a d’abord déclaré qu’il y avait eu une « réticence » de la part de F.________ à l’égard d’une personne avant d’entrer dans l’appartement de ce dernier, mais qu’après discussion, tout le monde avait pu entrer (PV aud. 1, p. 2). Lors de cette même audition, il a également déclaré, s’agissant de l’arrivée dans l’appartement du recourant, que « j’ai le souvenir que tout le monde est entré et s’est salué. C’est là que j’ai perçu la réticence de M. F.________ à l’égard d’une personne » (PV aud. 1, p. 4). Si les déclarations de H.________ ne sont pas très claires, voire contradictoires sur le moment où F.________ se serait montré réticent envers les prévenus, elles confirment cependant qu’il y a eu un problème au début de la visite. On ignore en outre dans quelle mesure l’intéressé s’est montré réticent. Par conséquent, en l’état, il existe un doute quant à la question de savoir si F.________ s’est ou non clairement opposé à ce que les prévenus entrent dans son appartement ou si l’intéressé a ou non communiqué à T.________ et/ou à P.________ une injonction de sortir claire et non équivoque, après les avoir laissés entrer dans son appartement. Or ce doute pourrait être levé par l’audition des autres membres de la Commission de salubrité présents lors de la visite litigieuse. Partant, il est prématuré, à ce stade de l’enquête, d’exclure l’infraction de violation de domicile. Pour ce motif, il convient d’annuler l’ordonnance de classement et de renvoyer le dossier au procureur pour qu’il procède à l’audition des autres membres de la Commission de salubrité présents au moment des faits litigieux.</w:t>
      </w:r>
    </w:p>
    <w:p>
      <w:r>
        <w:rPr>
          <w:b/>
        </w:rPr>
        <w:t>E. 3</w:t>
      </w:r>
    </w:p>
    <w:p>
      <w:r>
        <w:t>Il résulte de ce qui précède que le recours doit être admis, l’ordonnance attaquée annulée et le dossier de la cause renvoyé au Ministère public de l’arrondissement de l’Est vaudois pour qu’il procède dans le sens des considérants. Les frais de la procédure de recours, constitués en l’espèce du seul émolument d'arrêt (art. 422 al. 1 CPP), par 770 fr. (art. 20 al. 1 TFIP  [Tarif des frais de procédure et indemnités en matière pénale du 28 septembre 2010; RSV 312.03.1]), seront mis à la charge des intimés, qui ont conclu au rejet du recours et qui succombent (art. 428 al. 1 CPP), à part égales et solidairement entre eux (art. 418 al. 1 et 2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16 avril 2014 est annulée. III. Le dossier de la cause est renvoyé au Ministère public de l’arrondissement de l’Est vaudois pour qu’il procède dans le sens des considérants. IV. Les frais de la procédure de recours, par 770 fr. (sept cent septante francs), sont mis à la charge de T.________ et de P.________, à parts égales et solidairement entre eux. V. Le présent arrêt est exécutoire. Le président :               La greffière : Du L'arrêt qui précède, dont la rédaction a été approuvée à huis clos, est notifié, par l'envoi d'une copie complète, à : - M. César Montalto, avocat (pour F.________), - M. Philippe Richard, avocat (pour T.________ et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