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731 vom 22. August 2014</w:t>
      </w:r>
    </w:p>
    <w:p>
      <w:r>
        <w:t>VD Tribunal cantonal, 2014-08-22, FR</w:t>
      </w:r>
    </w:p>
    <w:p>
      <w:r>
        <w:rPr>
          <w:b/>
        </w:rPr>
        <w:t xml:space="preserve">Quelle: </w:t>
      </w:r>
      <w:r>
        <w:t>https://mcp.opencaselaw.ch/entscheid/vd_findinfo_D_cision___2014___731</w:t>
      </w:r>
    </w:p>
    <w:p>
      <w:r>
        <w:t>FR: VD_FINDINFO Décision / 2014 / 731 du 22 août 2014</w:t>
      </w:r>
    </w:p>
    <w:p>
      <w:r>
        <w:t>IT: VD_FINDINFO Décision / 2014 / 731 del 22 agosto 2014</w:t>
      </w:r>
    </w:p>
    <w:p>
      <w:pPr>
        <w:pStyle w:val="Heading2"/>
      </w:pPr>
      <w:r>
        <w:t>Regeste</w:t>
      </w:r>
    </w:p>
    <w:p>
      <w:r>
        <w:t>ACTION EN CONTESTATION DU CAS DE SÉQUESTRE | 263 al. 1 let. b CPP (CH), 263 al. 1 let. d CPP (CH), 268 al. 1 let. a CPP (CH)</w:t>
      </w:r>
    </w:p>
    <w:p>
      <w:pPr>
        <w:pStyle w:val="Heading2"/>
      </w:pPr>
      <w:r>
        <w:t>Erwägungen</w:t>
      </w:r>
    </w:p>
    <w:p>
      <w:r>
        <w:rPr>
          <w:b/>
        </w:rPr>
        <w:t>E. 1</w:t>
      </w:r>
    </w:p>
    <w:p>
      <w:r>
        <w:t>a) Aux termes de l’art. 393 al. 1 let. a CPP, le recours est recevable contre les décisions et actes de procédure du ministère public. Une ordonnance de séquestre rendue par le ministère public (art. 263 CPP) est ainsi susceptible de recours selon les art. 393 ss CPP (Bommer/Goldschmid, in : Niggli/Heer/ Wiprächtiger [éd.], Basler Kommentar, Schweizerische Strafprozessordnung, Jugendstrafprozessordnung, Bâle 2011, n. 66 ad art. 2633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 En effet, en tant que prévenu directement touché dans ses droits par l’ordonnance de séquestre litigieuse, S.________ a qualité pour recourir contre celle-ci (art. 382 al. 1 CPP).</w:t>
      </w:r>
    </w:p>
    <w:p>
      <w:r>
        <w:rPr>
          <w:b/>
        </w:rPr>
        <w:t>E. 2</w:t>
      </w:r>
    </w:p>
    <w:p>
      <w:r>
        <w:t>a) En vertu de l'art. 263 al. 1 CPP, des objets et des valeurs patrimoniales appartenant au prévenu ou à des tiers peuvent être mis sous séquestre, lorsqu'il est probable, en particulier, qu’ils seront utilisés pour garantir le paiement des frais de procédure, des peines pécuniaires, des amendes et des indemnités (let. b) ou qu'ils devront être confisqués (let. d).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(Lembo/Julen Berthod, in : Kuhn/Jeanneret [éd.], Commentaire romand, Code de procédure pénale suisse, Bâle 2011, n. 17 ad art. 263 CPP; Bommer/Goldschmid, op. cit., nn. 11 à 15 ante art. 263-268 CPP). b) En l’espèce, le recourant conteste tout d’abord l’existence de soupçons suffisants laissant présumer une infraction (art. 197 al. 1 let. b CPP). Il suffit à cet égard de relever qu’il était collègue de A.________, lequel aurait reconnu une partie des actes qui lui sont personnellement reprochés, d’une part, ainsi que le fait qu’il avait agi de concert avec le recourant pour établir certaines factures, notamment sur en-tête de la plaignante, d’autre part. Or il ressort, du moins en l’état de l’enquête, de factures saisies au domicile de ce prévenu que le recourant aurait bénéficié des malversations en cause pour un montant qui n’est pas encore établi, mais que le Ministère public évalue à USD 110'000.-. Rapprochés les uns des autres, ces éléments suffisent, à ce stade de la procédure, à faire naître des soupçons suffisants qu’une infraction a été commise par le recourant. La condition préalable de l’art. 197 al. 1 let. b CPP est donc réalisée, ce qui justifie l’examen des autres conditions du séquestre en l’état de l’enquête.</w:t>
      </w:r>
    </w:p>
    <w:p>
      <w:r>
        <w:rPr>
          <w:b/>
        </w:rPr>
        <w:t>E. 3</w:t>
      </w:r>
    </w:p>
    <w:p>
      <w:r>
        <w:t>a) Il ressort de ses motifs que l’ordonnance entreprise se fonde sur les cas de séquestre de l’art. 263 al. 1 let. b et d CPP (cf. ci-dessous), en particulier dans la perspective d’une créance compensatrice fondée sur les art. 71 al. 1 et 73 al. 1 let. c CP (Code pénal suisse du 21 décembre 1937; RS 311.0). b) Selon l’art. 263 al. 1 let. b CPP, des objets et des valeurs patrimoniales appartenant au prévenu peuvent être mis sous séquestre lorsqu'il est probable qu’ils seront utilisés pour garantir le paiement des frais de procédure, des peines pécuniaires, des amendes et des indemnités. L’art. 268 CPP précise à cet égard que le patrimoine d’un prévenu peut être séquestré dans la mesure qui paraît nécessaire pour couvrir (a) les frais de procédure et les indemnités à verser et/ou (b) les peines pécuniaires et les amendes (al. 1); lors du séquestre, l’autorité pénale tient compte du revenu et de la fortune du prévenu et de sa famille (al. 2); les valeurs patrimoniales insaisissables selon les art. 92 à 94 LP sont exclues du séquestre (al. 3). Le séquestre en couverture des frais (ou à fin de garantie) ( Vermögensbeschlagnahme ) peut être opéré sur tous les biens du prévenu aux fins d’en assurer la dévolution à l’Etat pour garantir le paiement des peines pécuniaires et autres frais de procédure et d’exécution des peines que la procédure pénale a fait naître à la charge du prévenu (Lembo/Julen Berthod, op. cit., n. 14 ad art. 263 CPP; Bommer/Goldschmid, op. cit., n. 50 ad art. 263 CPP et n. 1 ad art. 268 CPP). Un séquestre en couverture des frais doit respecter le principe de proportionnalité (cf. art. 268 al. 1 à 3 CPP). Il ne doit ainsi pas compromettre plus que nécessaire les intérêts privés du prévenu en frappant indistinctement des valeurs patrimoniales, telles que des immeubles, dont la valeur dépasse le montant des frais présumés que le prévenu pourrait être condamné à payer (Bommer/Goldschmid, op. cit., n. 8 ad art. 268 CPP; CREP 11 avril 2011/91). c) En l’espèce, vu l’ampleur supposée des malversations, la créance compensatrice susceptible d’être mise à la charge du recourant pourrait être particulièrement élevée. Aucun élément matériel n’infirme en l’état l’estimation de USD 110'000.- faite par le Procureur. Ce montant équivaut à quelque 101’000 fr. au taux actuel, le cours de change d’une devise étant un fait notoire. A cette somme s’ajouteront, dans l’hypothèse d’une condamnation du recourant, une part des frais de procédure afférents à une enquête de grande ampleur, le cas échéant en outre une peine pécuniaire. Il n’apparaît en l’état pas que l’intéressé dispose d’autres éléments patrimoniaux pérennes que sa part de propriété immobilière commune susceptible de présenter des garanties suffisantes, du moins ne l’allègue-t-il pas. Le séquestre permet dans cette mesure de pallier le risque de disparition ou de dépréciation du patrimoine mobilier du recourant. Les conditions posées par l’art. 263 al. 1 let. b CPP sont dès lors remplies. d) En outre, bien que l’art. 263 al. 1 let. d CPP ne mentionne pas la créance compensatrice au sens de l’art. 71 CP, cette dernière est, en raison de son caractère subsidiaire, englobée dans la notion de confiscation; ainsi, dans l’hypothèse où les objets ou valeurs patrimoniales à confisquer ne seraient plus disponibles, un séquestre en vue de l’exécution d’une créance compensatrice peut être ordonné, comme le prévoit l’art. 71 al. 3 CP (Lembo/Julen Berthod, op. cit., n. 10 ad art. 263 CPP; Bommer/Goldschmid, op. cit., n. 45 ad art. 263 CPP). Il s’ensuit, sous l’angle de l’art. 263 al. 1 let. d CPP, que le séquestre est également justifié pour garantir une créance compensatrice, ce sur tous les biens de la personne visée, donc sans qu’il soit nécessaire qu’il existe un rapport de connexité entre les valeurs patrimoniales séquestrées et l'infraction poursuivie.</w:t>
      </w:r>
    </w:p>
    <w:p>
      <w:r>
        <w:rPr>
          <w:b/>
        </w:rPr>
        <w:t>E. 4</w:t>
      </w:r>
    </w:p>
    <w:p>
      <w:r>
        <w:t>a) Cela étant, le recourant articule divers moyens spécifiques relatifs au bien-fondé du séquestre. Il soutient ainsi que l’immeuble en question aurait été acquis au moyen de son deuxième pilier, bien avant son engagement par la plaignante, soit plus de dix ans auparavant, de sorte que l’élément de patrimoine mis sous séquestre n’aurait aucun lien de connexité avec les infractions faisant l’objet de l’enquête. Le fait allégué semble en effet ressortir du contrat de prêt hypothécaire (avec confirmation au 5 février 1998), dont l’emprunt avait été amorti en 2007 déjà, soit avant même l’engagement du recourant par la plaignante en 2008. Le contrat a été produit en annexe au recours (P. 2 du bordereau). Ce qui précède ne suffit toutefois pas à exclure le séquestre par principe. Les art. 263 al. 1 in initio et 268 al. 1 in initio CPP ne consacrent en effet pas une distinction qui serait fondée sur l’origine des divers éléments du patrimoine du prévenu et leur rapport avec une infraction poursuivie, s’agissant en particulier d’un séquestre en couverture des frais (Lembo/ Julen Berthod, op. cit., n. 14 ad art. 263 CPP, déjà cité). Peu importe dès lors que les deniers qui auraient été détournés au préjudice de la plaignante en 2011 et 2012 n’aient pas servi au financement de l’immeuble. b) Le recourant soutient ensuite que « [l]es montants correspondant aux fausses factures (retrouvées au domicile de A.________, réd .) correspondent à des commissions pour conseils en bourse de New York effectués en faveur de [...] » ; il ajoute que ces conseils n’avaient porté aucun préjudice à la plaignante et n’étaient pas même contraires au contrat de travail passé avec elle. Le cocontractant en question n’est pas mentionné dans l’ordonnance attaquée, qui se limite à désigner trois fournisseurs établis en Amérique latine. On ne voit cependant pas pour quel motif la rémunération de conseils financiers tenus pour licites et même constitutifs d’aucun conflit de loyauté avec les intérêts de l’employeur aurait fait l’objet de fausses factures, ni à quelles fins ces documents auraient abouti en mains de A.________. Bien plutôt, ce prévenu a lui-même admis avoir prodigué des conseils à la société [...] en relation avec la bourse de New York (PV aud. 4, lignes 54-59), ce après en avoir conféré avec le recourant et un autre collègue (PV aud. 4, lignes 177-184). Partant, il s’agit du même complexe de faits, qui excède manifestement la seule activité de négoce de [...]. Ainsi, il apparaît, en l’état, d’une vraisemblance prépondérante que les fonds mentionnés par les pièces découvertes au domicile de A.________ se rattachent à des infractions pénales, plus précisément à celles dont doivent répondre le dernier nommé et le recourant dans la présente procédure pénale. c) Se prévalant de l’art. 268 al. 1 in initio CPP, le recourant soutient que le séquestre serait disproportionné par rapport au montant qu’il lui est reproché d’avoir reçu de A.________. Il est vrai que la somme en question, évaluée par le Procureur à USD 110'000.-, soit à un peu plus de 100'000 fr. au gré des variations de cours, est inférieure à la valeur fiscale de sa part en cas de liquidation de la communauté, qui se monte à 285'000 fr. (570'000 fr. / 2). A plus forte raison est-elle inférieure à la moitié de la valeur vénale de l’immeuble. Le recourant oublie cependant que le séquestre n’a pas pour seul objet de couvrir l’éventuelle créance compensatrice. Bien plutôt, il a également été prononcé en garantie des frais de procédure et de la peine pécuniaire susceptible d’être prononcée, conformément aux art. 263 al. 1 let. b et 268 al. 1 let. a et b CPP, notamment. Quoi qu’il en soit, à l’aune de l’art. 268 al. 1 CPP, la différence dont le recourant tente de tirer argument ne constitue pas une disproportion au sens légal entre la future créance compensatrice supposée et le seul séquestre promis à la garantir. Il aurait fallu, pour cela, que les deux montants eussent été sans commune mesure l’un avec l’autre, ce qui n’est pas le cas ici. La norme topique susmentionnée ne commande en effet pas une quasi-équivalence entre ces deux objets, qui ne serait guère concevable en pratique. d) Enfin, le recourant fait grief au Procureur de ne pas avoir cherché à savoir s’il disposait d‘autres biens susceptibles de servir de garantie, de façon à ce que la mesure de contrainte soit moins incisive à l’aune de l’art. 197 al. 1 let. c CPP. Le dossier ne comporte aucun indice de liquidités, ni d’autres éléments de fortune susceptibles d’être mis sous séquestre, s’agissant par exemple d’un portefeuille de titres. Le plaideur est du reste d’autant moins fondé à invoquer un tel moyen qu’il n’a pas allégué disposer d’autres éléments de patrimoine pérennes et significatifs que l’immeuble grevé. Aucune mesure de substitution, moins incisive, n’apparaît ainsi de nature à être prononcée à la place du séquestre litigieux.</w:t>
      </w:r>
    </w:p>
    <w:p>
      <w:r>
        <w:rPr>
          <w:b/>
        </w:rPr>
        <w:t>E. 5</w:t>
      </w:r>
    </w:p>
    <w:p>
      <w:r>
        <w:t>En définitive, le recours, manifestement mal fondé, doit être rejeté sans autres échanges d'écritures (art. 390 al. 2 CPP) et l’ordonnance de séquestre confirmée. Les frais de la procédure de recours, par 990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4 juillet 2014 est confirmée. III. Les frais du présent arrêt, par 990 fr. (neuf cent nonante francs), sont mis à la charge du recourant. IV. Le présent arrêt est exécutoire. Le président :               Le greffier : Du L'arrêt qui précède, dont la rédaction a été approuvée à huis clos, est notifié, par l'envoi d'une copie complète, à : - M. Patrick Sutter, avocat (pour S.________), - M. Hervé Crausaz, avocat (pour N.________), - Office du registre foncier La Riviera, - Ministère public central, et communiqué à : - Mme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