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725 vom 4. Juli 2014</w:t>
      </w:r>
    </w:p>
    <w:p>
      <w:r>
        <w:t>VD Tribunal cantonal, 2014-07-04, FR</w:t>
      </w:r>
    </w:p>
    <w:p>
      <w:r>
        <w:rPr>
          <w:b/>
        </w:rPr>
        <w:t xml:space="preserve">Quelle: </w:t>
      </w:r>
      <w:r>
        <w:t>https://mcp.opencaselaw.ch/entscheid/vd_findinfo_D_cision___2014___725</w:t>
      </w:r>
    </w:p>
    <w:p>
      <w:r>
        <w:t>FR: VD_FINDINFO Décision / 2014 / 725 du 4 juillet 2014</w:t>
      </w:r>
    </w:p>
    <w:p>
      <w:r>
        <w:t>IT: VD_FINDINFO Décision / 2014 / 725 del 4 luglio 2014</w:t>
      </w:r>
    </w:p>
    <w:p>
      <w:pPr>
        <w:pStyle w:val="Heading2"/>
      </w:pPr>
      <w:r>
        <w:t>Regeste</w:t>
      </w:r>
    </w:p>
    <w:p>
      <w:r>
        <w:t>ACTE D'ORDRE SEXUEL AVEC UN ENFANT, CONTRAINTE SEXUELLE, CLASSEMENT DE LA PROCÉDURE | 187 CP, 189 CP, 319 CPP (CH), 39 PPMin</w:t>
      </w:r>
    </w:p>
    <w:p>
      <w:pPr>
        <w:pStyle w:val="Heading2"/>
      </w:pPr>
      <w:r>
        <w:t>Erwägungen</w:t>
      </w:r>
    </w:p>
    <w:p>
      <w:r>
        <w:rPr>
          <w:b/>
        </w:rPr>
        <w:t>E. 1</w:t>
      </w:r>
    </w:p>
    <w:p>
      <w:r>
        <w:t>Le recours a été interjeté contre une ordonnance de classement rendue par la 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2.1</w:t>
      </w:r>
    </w:p>
    <w:p>
      <w:r>
        <w:t>Aux termes de l'art. 319 al. 1 CPP, applicable par renvoi de l’art. 3 al. 1 et 2 a contrario PPMin, le juge des mineurs – qui exerce les compétences et effectue les tâches que le CPP attribue au ministère public au stade de l’instruction –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w:t>
      </w:r>
    </w:p>
    <w:p>
      <w:r>
        <w:rPr>
          <w:b/>
        </w:rPr>
        <w:t>E. 2.2</w:t>
      </w:r>
    </w:p>
    <w:p>
      <w:r>
        <w:t>En l’espèce, les éléments au dossier sont manifestement insuffisants pour établir la réalité des faits dénoncés. En effet, le dessin réalisé par A.K.________ montre une femme nue sous la douche avec un homme apparemment nu derrière elle avec l’interjection « HO ! » écrite (cf. P. 3 sous P. 6011). Contrairement à ce que soutient la recourante, on ne peut pas dire que l’homme a un sexe ou des attributs sexuels visibles. Il s’agit plutôt d’une grosse tache où l’on ne distingue aucun sexe. De plus, il ressort de l’audition d’A.K.________, réalisée par la police cantonale genevoise le 7 août 2013 en présence de deux psychologues et de deux inspecteurs de la police judiciaire formés à l’audition d’enfants victimes d’infractions graves, que l’enfant a expliqué que A.U.________ avait demandé à B.K.________ s’il pouvait l’habiller, que B.K.________ avait dit non et qu’il l’avait néanmoins habillée normalement sans que celle-ci ne s’y oppose. Surtout, selon A.K.________, A.U.________ n’avait jamais déshabillé B.K.________ et jamais rien fait qui puisse être désagréable pour cette dernière ou elle-même. L’audition de B.K.________ n’avait en outre rien pu apporter à l’enquête (P. 503). L’instruction a également permis d’établir que le dessin avait été réalisé par A.K.________ à la demande de B.K.________ et non spontanément (notamment P. 402, p. 4). Enfin, A.U.________ a toujours contesté les faits qui lui étaient reprochés (P. 401 et 402). Certes, la recourante se prévaut du certificat médical établi le 18 juillet 2013 par le Dr B.________, psychiatre (P. 4 sous P. 6011). Ce dernier explique avoir été contacté par la recourante qui, choquée et extrêmement inquiète, lui avait résumé ce qui se serait passé. Le 16 juillet 2013, il avait eu un entretien avec A.K.________ et avait tout de suite constaté qu’elle n’était pas dans son état habituel. Un jeu symbolique avait révélé des symptômes de type dépressif, soit en particulier une culpabilité excessive et un retournement de l’agressivité contre elle-même. De tels symptômes étaient nouveaux. Le médecin a expliqué qu’A.K.________ avait confirmé avoir parlé à sa mère et dit « j’lui ai juste raconté des garçons qui étaient méchants avec moi ». Concernant les agissements de A.U.________ alors que B.K.________ était dénudée, A.K.________ lui aurait précisé « je me souviens pas où il l’a touchée, je préfère pas me souvenir ». Le Dr B.________ a également vu B.K.________ seule puis en présence de sa mère. Le médecin a conclu avec un très haut degré de certitude qu’A.K.________ et B.K.________ souffraient chacune d’état de stress post-traumatique aigu ensuite d’un abus sexuel sous forme d’attouchements sur la personne de B.K.________ de la part d’un adolescent lui-même victime d’abus sexuel de la part de son père. Toutefois, les observations du médecin et son diagnostic sont basés essentiellement sur les déclarations de la mère qu’il tient pour véridiques (cf. P. 402, p. 6) et sur un élément de fait erroné, à savoir que A.U.________ aurait été victime d’abus sexuel. Le Dr P.________, psychiatre et expert agréé par la justice française, a par ailleurs relevé que le Dr B.________ n’avait pas suffisamment pris en considération les règles de prudence exigées dans l’analyse d’un dévoilement d’abus sexuel et n’avait traité que partiellement des éléments indispensables à l’établissement des faits (P. 913). De plus, le comportement des sœurs, constaté par leur mère, par A.Z.________ et B.Z.________, beau-père et mère de la recourante, ainsi que par le Dr B.________, peut notamment s’expliquer par le grave conflit de loyauté existant. Le certificat médical produit par la recourante n’est dès lors pas de nature à infirmer les propres déclarations d’A.K.________ devant la police cantonale genevoise et les autres constats présents au dossier et décrits ci-dessus. La date de la réalisation du dessin n’est dans ces circonstances pas déterminante.</w:t>
      </w:r>
    </w:p>
    <w:p>
      <w:r>
        <w:rPr>
          <w:b/>
        </w:rPr>
        <w:t>E. 2.3</w:t>
      </w:r>
    </w:p>
    <w:p>
      <w:r>
        <w:t>Au regard de l'ensemble de ces éléments, c'est à juste titre que la Présidente du Tribunal des mineurs a prononcé un classement en faveur de A.U.________ en l’absence d’élément permettant de retenir la réalisation d’actes à caractère sexuel ou de contrainte sur A.K.________ et B.K.________.</w:t>
      </w:r>
    </w:p>
    <w:p>
      <w:r>
        <w:rPr>
          <w:b/>
        </w:rPr>
        <w:t>E. 3</w:t>
      </w:r>
    </w:p>
    <w:p>
      <w:r>
        <w:t>En définitive, le recours doit être rejeté et l’ordonnance attaquée confirmée. Les frais de la procédure de recours, constitués en l’espèce de l'émolument d'arrêt (art. 422 al. 1 CPP), par 330 fr. (art. 20 al. 1 et 2 TFIP  [Tarif des frais de procédure et indemnités en matière pénale du 28 septembre 2010; RSV 312.03.1]), doivent être mis à la charge de E.K.________, qui succombe (art. 44 al. 2 PPMin et 428 al. 1 CPP). Par ces motifs, la Chambre des recours pénale, statuant à huis clos, prononce : I. Le recours est rejeté. II. L’ordonnance du 6 mai 2014 est confirmée. III. Les frais de la procédure de recours, par 330 fr. (trois cent trente francs), sont mis à la charge d’E.K.________. IV. Le présent arrêt est exécutoire. Le président :               La greffière : Du L'arrêt qui précède, dont la rédaction a été approuvée à huis clos, est notifié, par l'envoi d'une copie complète, à : - M. Nicolas Wyss, avocat (pour E.K.________, A.K.________ et B.K.________), - Mme Mireille Loroch, avocate (pour A.U.________), - Mme B.U.________,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