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724 vom 22. August 2014</w:t>
      </w:r>
    </w:p>
    <w:p>
      <w:r>
        <w:t>VD Tribunal cantonal, 2014-08-22, FR</w:t>
      </w:r>
    </w:p>
    <w:p>
      <w:r>
        <w:rPr>
          <w:b/>
        </w:rPr>
        <w:t xml:space="preserve">Quelle: </w:t>
      </w:r>
      <w:r>
        <w:t>https://mcp.opencaselaw.ch/entscheid/vd_findinfo_D_cision___2014___724</w:t>
      </w:r>
    </w:p>
    <w:p>
      <w:r>
        <w:t>FR: VD_FINDINFO Décision / 2014 / 724 du 22 août 2014</w:t>
      </w:r>
    </w:p>
    <w:p>
      <w:r>
        <w:t>IT: VD_FINDINFO Décision / 2014 / 724 del 22 agosto 2014</w:t>
      </w:r>
    </w:p>
    <w:p>
      <w:pPr>
        <w:pStyle w:val="Heading2"/>
      </w:pPr>
      <w:r>
        <w:t>Regeste</w:t>
      </w:r>
    </w:p>
    <w:p>
      <w:r>
        <w:t>SÉQUESTRE{MESURE PROVISIONNELLE}, SUPPRESSION{EN GÉNÉRAL} | 263 CPP (CH), 267 CPP (CH), 393 CPP (CH)</w:t>
      </w:r>
    </w:p>
    <w:p>
      <w:pPr>
        <w:pStyle w:val="Heading2"/>
      </w:pPr>
      <w:r>
        <w:t>Erwägungen</w:t>
      </w:r>
    </w:p>
    <w:p>
      <w:r>
        <w:rPr>
          <w:b/>
        </w:rPr>
        <w:t>E. 1</w:t>
      </w:r>
    </w:p>
    <w:p>
      <w:r>
        <w:t>let. a CPP; cf. CREP 18 octobre 2013/647 c. 1 et les références citées), par une partie ayant qualité pour recourir (art. 382 al. 1 CPP) et dans les formes prescrites (art. 385 al. 1 CPP), le recours est recevable.</w:t>
      </w:r>
    </w:p>
    <w:p>
      <w:r>
        <w:rPr>
          <w:b/>
        </w:rPr>
        <w:t>E. 2</w:t>
      </w:r>
    </w:p>
    <w:p>
      <w:r>
        <w:t>a)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 Si le motif du séquestre disparaît, le ministère public ou le tribunal lève la mesure et restitue les objets et valeurs patrimoniales à l'ayant droit (art. 267 al. 1 CPP). b) En l’espèce, il existe de sérieux soupçons permettant de penser que la recourante est impliquée dans les faits qui lui sont reprochés. En effet, les contrôles sur divers supports informatiques qui ont été effectués à la suite d’une perquisition opérée au domicile de la recourante et de son époux ont mis en évidence le fait que les cas de commandes en ligne sous de fausses identités pourraient être nombreux, le Ministère public estimant qu’une cinquantaine de commerces ont potentiellement été lésés. La recourante n’établit d’ailleurs pas, ni même n’allègue, que les articles dont elle requiert la levée du séquestre auraient été acquis légalement. Par conséquent, le lien de connexité entre les articles séquestrés et l’activité délictueuse présumée de la prévenue ne saurait être nié. Pour le surplus, la cour de céans ne discerne aucune violation du principe de la proportionnalité, des conditions de détention difficiles ne justifiant pas qu’on restitue à l’intéressée le possible produit de ses infractions qui devra le cas échéant faire l’objet d’une restitution aux lésés (cf. art. 70 al. 1 in fine CP). Par conséquent, c’est à bon droit que la procureure a refusé de lever le séquestre sur les articles litigieux saisis, les motifs du séquestre n’ayant pas disparu.</w:t>
      </w:r>
    </w:p>
    <w:p>
      <w:r>
        <w:rPr>
          <w:b/>
        </w:rPr>
        <w:t>E. 3</w:t>
      </w:r>
    </w:p>
    <w:p>
      <w:r>
        <w:t>Il résulte de ce qui précède que le recours doit être rejeté sans autres échanges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RSV 312.03.1]), et des frais imputables à la défense d’office (art. 422 al. 1 et 2 let. a CPP), fixés à 630 fr., plus la TVA, par 50 fr. 40, soit 680 fr. 40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30 juillet 2014 est confirmée. III. L'indemnité allouée au défenseur d'office de la recourante est fixée à 680 fr. 40 (six cent huitante francs et quarante centimes). IV. Les frais du présent arrêt, par 550 fr. (cinq cent cinquante francs), ainsi que l’indemnité due au défenseur d’office de la recourante, par 680 fr. 40 (six cent huitante francs et quarante centimes), sont mis à la charge de cette dernière. V. Le remboursement à l'Etat de l'indemnité allouée au chiffre III ci-dessus sera exigible pour autant que la situation économique de la recourante se soit améliorée. VI. Le présent arrêt est exécutoire. Le président :               La greffière : Du L'arrêt qui précède, dont la rédaction a été approuvée à huis clos, est notifié, par l'envoi d'une copie complète, à : - M. Daniel Kinzer, avocat (pour A.________), - Ministère public central; et communiqué à : - Mme Juliette Perrin, avocate (pour K.________), - M. Charles-Henri de Luze, avocat (pour Z.________),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