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723 vom 25. August 2014</w:t>
      </w:r>
    </w:p>
    <w:p>
      <w:r>
        <w:t>VD Tribunal cantonal, 2014-08-25, FR</w:t>
      </w:r>
    </w:p>
    <w:p>
      <w:r>
        <w:rPr>
          <w:b/>
        </w:rPr>
        <w:t xml:space="preserve">Quelle: </w:t>
      </w:r>
      <w:r>
        <w:t>https://mcp.opencaselaw.ch/entscheid/vd_findinfo_D_cision___2014___723</w:t>
      </w:r>
    </w:p>
    <w:p>
      <w:r>
        <w:t>FR: VD_FINDINFO Décision / 2014 / 723 du 25 août 2014</w:t>
      </w:r>
    </w:p>
    <w:p>
      <w:r>
        <w:t>IT: VD_FINDINFO Décision / 2014 / 723 del 25 agosto 2014</w:t>
      </w:r>
    </w:p>
    <w:p>
      <w:pPr>
        <w:pStyle w:val="Heading2"/>
      </w:pPr>
      <w:r>
        <w:t>Regeste</w:t>
      </w:r>
    </w:p>
    <w:p>
      <w:r>
        <w:t>LÉSION CORPORELLE PAR NÉGLIGENCE, DILIGENCE, SÉCURITÉ DU TRAVAIL | 125 al. 2 CP, 125 CP,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Le recourant requiert la jonction de la présente cause à la procédure PE13.003740-MMR dirigée contre K.________ et Z.________ pour faux témoignage. Cette requête doit être rejetée. En effet, la Chambre des recours pénale, par arrêt du 11 novembre 2013, aux considérants duquel on renvoie, avait confirmé une ordonnance de refus de jonction des procédures pénales rendue par le Ministère public. Il n’y a pas à y revenir ici. Quoi qu’il en soit, joindre les causes placerait K.________ dans une situation particulière : il n’aurait la qualité de prévenu que pour les faits visés par l’enquête pour faux témoignage, mais non pour ceux qui font l’objet de la procédure pénale pour lésions corporelles graves par négligence, instruite contre inconnu.</w:t>
      </w:r>
    </w:p>
    <w:p>
      <w:r>
        <w:rPr>
          <w:b/>
        </w:rPr>
        <w:t>E. 3</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w:t>
      </w:r>
    </w:p>
    <w:p>
      <w:r>
        <w:rPr>
          <w:b/>
        </w:rPr>
        <w:t>E. 4</w:t>
      </w:r>
    </w:p>
    <w:p>
      <w:r>
        <w:t>Le recourant demande que le Ministère public procède à un complément d’instruction, en entendant de nouveau H.________, Z.________ et K.________, et que ce dernier et A.L.________ notamment soient « [mis] en prévention ». La « mise en prévention » n’est pas une institution connue de la procédure pénale suisse. En réalité, la recourant demande que l’instruction pour lésions corporelles par négligence soit expressément dirigée contre K.________ et A.L.________. Cela suppose qu’il existe contre eux des soupçons suffisants (art. 111 al. 1 et 309 al. 1 let. a CPP). La cour de céans n’étant pas liée par les conclusions des parties (art. 391 al. 1 let. b CPP), il convient d’examiner si en l’état de la procédure, ces soupçons sont d’ores et déjà propres à justifier une mise en accusation (art. 324 al. 1 CPP).</w:t>
      </w:r>
    </w:p>
    <w:p>
      <w:r>
        <w:rPr>
          <w:b/>
        </w:rPr>
        <w:t>E. 4.1</w:t>
      </w:r>
    </w:p>
    <w:p>
      <w:r>
        <w:t>Conformément à l’art. 125 al. 1 CP, celui qui, par négligence, aura fait subir à une personne une atteinte à l'intégrité corporelle ou à la santé sera, sur plainte, puni d'une peine privative de liberté de trois ans au plus ou d'une peine pécuniaire. L'infraction visée par cette norme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 5.1 ;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 SJ 2011 I p. 86 ; ATF 135 IV 56 c. 2.1, JT 2010 IV 43;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 ;TF 6B_934/2009 du 22 décembre 2009 c. 1.1). Il y a violation d'un devoir de prudence lorsque l'auteur, au moment des faits, aurait pu, compte tenu de ses connaissances et de ses capacités, se rendre compte de la mise en danger d'autrui (ATF 133 IV 158 c. 5.1). S’il y a eu violation des règles de la prudence, encore faut-il que celle-ci puisse être imputée à faute, c’est-à-dire que l'on puisse reprocher à l'auteur, compte tenu de ses circonstances personnelles, d'avoir fait preuve d'un manque d'effort blâmable (ATF 122 IV 145 c. 3b). L'art. 125 CP suppose, outre une violation d'un devoir de prudence qui puisse être imputée à faute (ATF 133 IV 158 c. 5.1; ATF 129 IV 119 c. 2.1), que cette violation se soit trouvée en rapport de causalité naturelle et adéquate avec le résultat de l'infraction, soit des lésions corporelles. Un comportement est la cause naturelle d'un résultat s'il en constitue l'une des conditions sine qua non , c'est-à-dire si, sans lui, le résultat ne se serait pas produit (ATF 133 IV 158 c. 6.1; Corboz, Les infractions en droit suisse, vol. I, 3 e éd., Berne 2010, n. 34 ad art. 117 CP).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 suffit qu’il soit établi avec une haute vraisemblance, ou une vraisemblance confinant à la certitude, que si l’auteur avait agi d’une manière conforme à son devoir de prudence, le résultat ne se serait pas produit (ATF 135 IV 56 c. 2.1, JT 2010 IV 43). Le lien de causalité adéquate peut être rompu si une autre cause concomitante constitue une circonstance tout à fait exceptionnelle ou apparaît si extraordinaire que l’on ne pouvait pas s’y attendre (ATF 134 IV 255 c. 4.4.2 ; ATF 133 IV 158 c. 6.1).</w:t>
      </w:r>
    </w:p>
    <w:p>
      <w:r>
        <w:rPr>
          <w:b/>
        </w:rPr>
        <w:t>E. 4.2</w:t>
      </w:r>
    </w:p>
    <w:p>
      <w:r>
        <w:t>Selon l’art. 5 OPA (Ordonnance sur la prévention des accidents ; RS 832.30), si les risques d’accident ou d’atteintes à la santé ne peuvent pas être éliminés par des mesures d’ordre technique ou organisationnel, ou ne peuvent l’être que partiellement, l’employeur mettra à la disposition des travailleurs des équipements de protection individuel (EPI) tels que casques de protection, protège-cheveux, lunettes et écrans de protection, protecteurs d’ouïe, appareils de protection des voies respiratoires, chaussures, gants, vêtements de protection, dispositifs de protection contre les chutes et la noyade, produits de protection de la peau et, au besoin, sous-vêtements spéciaux, dont l’utilisation peut être raisonnablement exigée. L’employeur doit veiller à ce que ces équipements soient toujours en parfait état et prêts à être utilisés. L’employeur veille à ce que les travailleurs occupés dans son entreprise soient informés des risques auxquels ils sont exposés dans l’exercice de leur activité et instruits des mesures à prendre pour les prévenir. Cette information et cette instruction doivent être dispensés lors de l’entrée en service ainsi qu’à chaque modification importante des conditions de travail ; elles doivent être répétées si nécessaires (art. 6 al. 1 OPA). Lorsque l’employeur confie au travailleur certaines tâches relatives à la sécurité au travail, il doit le former de manière appropriée, parfaire sa formation et lui donner des compétences précises et des instructions claires. Le temps nécessaire à la formation et au perfectionnement est en principe considéré comme temps de travail (art. 7 al. 1 OPA). Le fait de confier de telles tâches à un travailleur ne libère pas l’employeur de ses obligations en matière de sécurité au travail (art. 7 al. 2 OPA). Selon l’art. 3.2 de la Directive édictée par la Commission fédérale de coordination pour la sécurité au travail (CFST) en matière de travaux forestiers (n° 2134), avant le début des travaux forestiers, on définira les procédés de travail, le matériel nécessaire et l’organisation du chantier (3.2.2). Les travailleurs seront instruits des procédés de travail prévus, du déroulement des opérations, de l’organisation du chantier et des mesures de sécurité à prendre (3.2.3). On donnera aux travailleurs des directives claires. L’employeur et les chefs veilleront à leur respect (3.2.4) (cf. P. 8/3). L’art. 3.4 de la même directive énonce l’obligation de l’employeur de mettre à disposition des travailleurs les équipements de protection individuelle (EPI) dont l’utilisation peut être raisonnablement exigée. L’employeur veillera à ce qu’ils soient toujours utilisés, conformément aux prescriptions. Il s’agit notamment du port d’un casque. Selon la Directive n° 6508 de la CFST, les entreprises de plus de 100 employés dans lesquelles il existe des dangers particuliers selon l’annexe I, à savoir tous les travaux sans emplacement de travail fixe, notamment les exploitations agricoles et forestières, doivent apporter la preuve de la mise en place d’un « Système et d’une organisation de la sécurité ». Elles doivent également prouver avoir fait appel à des spécialistes de la sécurité au travail ou justifier des mesures prises à cet égard.</w:t>
      </w:r>
    </w:p>
    <w:p>
      <w:r>
        <w:rPr>
          <w:b/>
        </w:rPr>
        <w:t>E. 4.3</w:t>
      </w:r>
    </w:p>
    <w:p>
      <w:r>
        <w:t>En l’espèce, il n’est pas douteux que les lésions que le recourant a subies doivent être qualifiées de graves au sens de l’art. 125 al. 2 CP. L’entreprise B.L.________ SA, selon les déclarations de son administrateur, emploie 130 personnes (PV aud. 8). Elle était donc tenue de mettre en place un système et une organisation de la sécurité, conformément à la Directive n° 6508 de la CFST. Une telle obligation incombait à A.L.________, en sa qualité d’administrateur président et coordinateur sécurité de l’entreprise. On peut donc lui reconnaître une position de garant (cf. art. 328 CO et 6 LTr ([Loi sur le travail, RS 822.119]), tout comme, par délégation, au chef d’équipe K.________. Plusieurs éléments indiquent qu’au moment de l’accident, il n’existait pas de système de sécurité suffisant au regard des directives mentionnées plus haut. Cela résulte en particulier des déclarations de H.________, mais aussi de celles de A.L.________, lesquelles donnent l’impression que ses connaissances, en matière de sécurité et de matériel technique adapté, sont plutôt vagues et générales. Quant à K.________, il a lui-même admis qu’il n’existait pas de protocole strict en matière de sécurité. S’agissant de la formation, H.________ a rapporté en substance que le recourant n’avait pas reçu une instruction suffisante en matière de sécurité au travail (P. 10/9). L’absence de véritable formation au sein de l’entreprise B.L.________ SA résulte également des déclarations de K.________, ainsi que de A.L.________, lequel a admis que le recourant, depuis son engagement en 2008, n’avait jamais été instruit des prescriptions de sécurité à observer. En ce qui concerne le matériel, il ressort de la déposition de H.________ et de son rapport du 12 juillet 2010 que la technique d’assurage employée était obsolète et que l’équipement de sécurité n’était pas conforme, en particulier le harnais utilisé par le recourant le jour de l’accident, qui n’était pas adapté au travail prévu. En outre, le recourant a expliqué qu’en raison d’un mousqueton hors d’usage, il n’avait pas pu s’assurer conformément à la technique de sécurité habituelle, qui consiste, en plus de la corde de travail (ligne de vie), à attacher une longe au harnais. On peut présumer à ce stade que s’il avait disposé de trois mousquetons, il aurait pu utiliser les deux cordes et être assuré dans les règles. Ces circonstance suggèrent qu’il y a lieu d’admettre que A.L.________ et K.________ n’ont pas pris, pour assurer la sécurité du recourant, toutes les précautions commandées par les circonstances, en particulier en ce qui concerne l’équipement mis à disposition et la formation dispensée en matière de sécurité. Sous l’angle du lien de causalité, le recourant parait certes avoir fait preuve d’imprudence en décrochant sa corde de travail du harnais pour se mouvoir plus librement. On ne peut toutefois pas affirmer à ce stade qu’il s’agit là d’une circonstance si exceptionnelle qu’elle relèguerait à l’arrière-plan tous les autres facteurs qui ont contribué à amener l’événement considéré et que le lien de causalité serait par conséquent rompu (ATF 134 IV 255 c. 4.4.2). On ne peut pas non plus exclure que l’insuffisance de l’instruction en matière de sécurité, dont l’enquête a révélé des indices, ait contribué à un certain relâchement de la vigilance et à un émoussement des réflexes de sûreté. Enfin, il convient de tenir compte du fait que sur certains points importants, notamment sur le matériel mis à disposition et son adéquation, les déclarations du recourant et des personnes dont il demande la mise en accusation sont en partie contradictoires.</w:t>
      </w:r>
    </w:p>
    <w:p>
      <w:r>
        <w:rPr>
          <w:b/>
        </w:rPr>
        <w:t>E. 4.4</w:t>
      </w:r>
    </w:p>
    <w:p>
      <w:r>
        <w:t>Au vu de l’ensemble des considérations qui précèdent, les soupçons sont d’ores et déjà suffisants pour prononcer, en application de l’art. 324 CPP, et conformément à l’adage in dubio pro duriore , la mise en accusation de A.L.________ et de K.________ du chef de lésions corporelles graves par négligence (art. 125 al. 2 CP), sans toutefois qu’il y ait lieu de procéder au complément d’instruction requis par le recourant, ses réquisitions pouvant être renouvelées devant l’autorité de jugement. Celle-ci, vu la relative complexité de l’affaire et les déclarations contradictoires, paraît mieux à même de se prononcer sur les questions du rapport de causalité adéquat et de l’imputabilité à faute d’éventuels manquements aux devoirs de prudence.</w:t>
      </w:r>
    </w:p>
    <w:p>
      <w:r>
        <w:rPr>
          <w:b/>
        </w:rPr>
        <w:t>E. 5</w:t>
      </w:r>
    </w:p>
    <w:p>
      <w:r>
        <w:t>Il résulte de ce qui précède que le recours doit être admis, l’ordonnance de classement du 26 mars 2014 annulée et le dossier de la cause renvoyé au Ministère public pour qu'il engage l’accusation contre K.________ et A.L.________ du chef de lésions corporelles graves par négligence. Les frais de la procédure de recours, constitués en l’espèce de l’émolument d’arrêt, par 1'540 fr. (art. 20 al. 1 TFIP [tarif des frais de procédure et indemnités en matière pénale; RSV 312.03.1]), ainsi que des frais imputables à l’assistance gratuite (art. 422 al. 2 let. a CPP), fixés à 1’800 fr., plus la TVA, par 144 fr., soit 1'944 fr. au total, seront laissés à la charge de l’Etat (art. 428 al. 4 CPP). Par ces motifs, la Chambre des recours pénale, statuant à huis clos, prononce : I. Le recours est admis. II. L’ordonnance du 26 mars 2014 est annulée et le dossier de la cause est renvoyé au Ministère public de l’arrondissement de La Côte pour qu’il procède dans le sens des considérants. III. L’indemnité allouée au conseil juridique gratuit de T.________ est fixée à 1'944 fr. (mille neuf cent quarante-quatre francs). IV. Les frais d’arrêt, par 1'540 fr. (mille cinq cent quarante francs), ainsi que l’indemnité due au conseil juridique gratuit de T.________, par 1'944 fr. (mille neuf cent quarante-quatre francs), sont laissés à la charge de l’Etat. V. Le présent arrêt est exécutoire. Le président :               Le greffier : Du L'arrêt qui précède, dont la rédaction a été approuvée à huis clos, est notifié, par l'envoi d'une copie complète, à : - M. Eric Maugué, avocat (pour T.________),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