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722 vom 27. August 2014</w:t>
      </w:r>
    </w:p>
    <w:p>
      <w:r>
        <w:t>VD Tribunal cantonal, 2014-08-27, FR</w:t>
      </w:r>
    </w:p>
    <w:p>
      <w:r>
        <w:rPr>
          <w:b/>
        </w:rPr>
        <w:t xml:space="preserve">Quelle: </w:t>
      </w:r>
      <w:r>
        <w:t>https://mcp.opencaselaw.ch/entscheid/vd_findinfo_D_cision___2014___722</w:t>
      </w:r>
    </w:p>
    <w:p>
      <w:r>
        <w:t>FR: VD_FINDINFO Décision / 2014 / 722 du 27 août 2014</w:t>
      </w:r>
    </w:p>
    <w:p>
      <w:r>
        <w:t>IT: VD_FINDINFO Décision / 2014 / 722 del 27 agosto 2014</w:t>
      </w:r>
    </w:p>
    <w:p>
      <w:pPr>
        <w:pStyle w:val="Heading2"/>
      </w:pPr>
      <w:r>
        <w:t>Regeste</w:t>
      </w:r>
    </w:p>
    <w:p>
      <w:r>
        <w:t>RISQUE DE COLLUSION, RISQUE DE RÉCIDIVE | 221 al. 1 let. b CPP (CH),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Dans la présente procédure de recours, X.________ ne conteste pas l’existence de soupçons suffisants pour justifier la détention provisoire. La cour de céans a déjà examiné cette question dans le cadre d’un arrêt rendu le 23 juin dernier (CREP 23 juin 2014/428). Selon un procédé admissible (cf. TF 1B_149/2010 du 1 er juin 2010; ATF 114 Ia 281), elle peut dès lors se borner à renvoyer aux considérants de celui-ci (CREP 23 juin 2014/428 c. 2.b), qui sont toujours d’actualité. Par ailleurs, on relèvera que le prévenu a admis, lors de son audition du 17 juillet 2014, une participation aux brigandages commis à Syens et à Mézières.</w:t>
      </w:r>
    </w:p>
    <w:p>
      <w:r>
        <w:rPr>
          <w:b/>
        </w:rPr>
        <w:t>E. 2.3</w:t>
      </w:r>
    </w:p>
    <w:p>
      <w:r>
        <w:t>Le recourant conteste d’abord le risque de collusion (art. 221 al. 1 let. b CPP).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En l’espèce, le Procureur indique dans sa requête de prolongation de la détention provisoire du 31 juillet 2014 qu’il doit encore procéder aux auditions de confrontation des prévenus. Lors de sa dernière audition, le 17 juillet 2014, X.________ a admis son implication dans les brigandages commis à Mézières et à Syens. Toutefois, à ce stade, son rôle et sa participation dans ces brigandages ne sont pas encore clairement établis. En effet, après avoir nié toute implication – prétextant notamment avoir prêté son téléphone portable à un co-prévenu – le recourant a finalement admis sa présence sur les lieux des différents brigandages, mais il persiste à nier toute implication active dans ceux-ci. Il a en effet soutenu en substance s’être trouvé, dans les deux cas, dans la voiture avec ses co-prévenus au moment des brigandages, mais il a expliqué ne pas avoir été au courant des intentions de ceux-ci et ne pas être intervenu auprès des victimes (PV aud. 3 du 17 juillet 2014, spéc. R. 3 concernant le cas de « Syens » et R. 8 concernant le cas de « Mézières »). Toutefois, il ressort de l’audition du recourant du 17 juillet 2014 que l’un de ses co-prévenus, [...], a indiqué lors de son audition du 23 mai 2014 qu’il y avait bien un « plan braquage » lors de l’épisode dit « de Mézières » (PV aud. 3, R. 8, P. 5). Au vu de ces éléments, les résultats des auditions de confrontation qui doivent encore être effectuées pourraient être compromis si le recourant venait à être remis en liberté. En effet, il est fort à craindre qu’en cas de libération, il puisse influencer les versions des autres protagonistes et des plaignants, notamment de la victime du brigandage de Mézières. Contrairement à ce que soutient le recourant, le fait que les autres prévenus soient actuellement détenus n’y change rien. Le risque de collusion s'oppose donc en l’état à la levée de la détention provisoire du recourant. En outre, aucune mesure de substitution ne saurait éliminer ce risque.</w:t>
      </w:r>
    </w:p>
    <w:p>
      <w:r>
        <w:rPr>
          <w:b/>
        </w:rPr>
        <w:t>E. 2.4</w:t>
      </w:r>
    </w:p>
    <w:p>
      <w:r>
        <w:t>La détention provisoire étant d'ores et déjà justifiée par le risque de collusion, il n'est pas nécessaire de trancher la question de l'existence du risque de réitération également invoqué par le Ministère public. En effet, les conditions fixées à l'art. 221 al. 1 let. a à c CPP sont des conditions alternatives et, partant, la réalisation d'une seule cause suffit (TF 1B_249/2011 du 7 juin 2011 c. 2.4). Toutefois, on rappellera qu’un risque de récidive avait également été retenu par la Cour de céans dans son arrêt du 23 juin 2014 (CREP 23 juin 2014/428 c. 4.c). Les motifs alors invoqués gardent toute leur pertinence aujourd’hui. En effet, il résulte du rapport d’investigation établi le 15 mai 2014 par la police cantonale que le recourant est très défavorablement connu des services de police et qu’il semble monter en puissance dans le type de délit qu’il commet. Pour le surplus, sa situation personnelle n’a pas changé ; il est toujours sans emploi et au bénéfice du revenu d’insertion, soit dans une situation financière difficile. Au vu de ses fréquentations, il est donc toujours à craindre que, remis en liberté, le recourant ne commette des infractions du même genre que celles qui lui valent les présentes poursuites, ce d’autant que l’intéressé a déjà été condamné pour brigandage à une peine ferme et qu’il semble n’en avoir tiré aucune leçon.</w:t>
      </w:r>
    </w:p>
    <w:p>
      <w:r>
        <w:rPr>
          <w:b/>
        </w:rPr>
        <w:t>E. 2.5</w:t>
      </w:r>
    </w:p>
    <w:p>
      <w:r>
        <w:t>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le 15 mai 2014, soit depuis environ trois mois et demi. Compte tenu de la gravité des infractions qui lui sont reprochées, en particulier de l’infraction de brigandage qualifié, et de sa condamnation antérieure, le recourant s'expose à une peine d’une durée manifestement supérieure à celle de la détention provisoire subie à ce jour. Le principe de la proportionnalité demeure donc respecté.</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880 fr. (art. 20 al. 1 TFIP  [Tarif des frais de procédure et indemnités en matière pénale du 28 septembre 2010; RSV 312.03.1]), et des frais imputables à la défense d'office du recourant (art. 422 al. 1 et 2 let. a CPP), fixés à 450 fr. plus la TVA par 36 fr., soit à 486 fr. au total, seront mis à la charge de ce dernier,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7 août 2014  est confirmée. III. L'indemnité allouée au défenseur d'office de X.________ est fixée à 486 fr. (quatre cent huitante-six francs). IV. Les frais du présent arrêt, par 880 fr. (huit cent huitante francs), ainsi que l'indemnité due au défenseur d'office du recourant selon le chiffre III ci-dessus, sont mis à la charge de X.________. V. Le remboursement à l'Etat de l'indemnité allouée au chiffre III ci-dessus sera exigible pour autant que la situation de X.________ se soit améliorée. VI. Le présent arrêt est exécutoire. Le président :               La greffière : Du L'arrêt qui précède, dont la rédaction a été approuvée à huis clos, est notifié, par l'envoi d'une copie complète, à : - M. Yann Oppliger, avocat (pour X.________),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