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713 vom 18. Juli 2014</w:t>
      </w:r>
    </w:p>
    <w:p>
      <w:r>
        <w:t>VD Tribunal cantonal, 2014-07-18, FR</w:t>
      </w:r>
    </w:p>
    <w:p>
      <w:r>
        <w:rPr>
          <w:b/>
        </w:rPr>
        <w:t xml:space="preserve">Quelle: </w:t>
      </w:r>
      <w:r>
        <w:t>https://mcp.opencaselaw.ch/entscheid/vd_findinfo_D_cision___2014___713</w:t>
      </w:r>
    </w:p>
    <w:p>
      <w:r>
        <w:t>FR: VD_FINDINFO Décision / 2014 / 713 du 18 juillet 2014</w:t>
      </w:r>
    </w:p>
    <w:p>
      <w:r>
        <w:t>IT: VD_FINDINFO Décision / 2014 / 713 del 18 luglio 2014</w:t>
      </w:r>
    </w:p>
    <w:p>
      <w:pPr>
        <w:pStyle w:val="Heading2"/>
      </w:pPr>
      <w:r>
        <w:t>Regeste</w:t>
      </w:r>
    </w:p>
    <w:p>
      <w:r>
        <w:t>DÉFENSE D'OFFICE | 132 CPP (CH), 393 al. 1 let. a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2.1</w:t>
      </w:r>
    </w:p>
    <w:p>
      <w:r>
        <w:t>En dehors des cas de défense obligatoire, dont les hypothèses ne sont pas réalisées en l'espèce,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p. 105).</w:t>
      </w:r>
    </w:p>
    <w:p>
      <w:r>
        <w:rPr>
          <w:b/>
        </w:rPr>
        <w:t>E. 2.2</w:t>
      </w:r>
    </w:p>
    <w:p>
      <w:r>
        <w:t>En l'espèce, les arguments du procureur sont pertinents et son appréciation, à laquelle se réfère intégralement la cour de céans, ne prête pas le flanc à la critique. En effet, les faits reprochés au recourant sont simples, le Ministère public ayant d’ailleurs envisagé de rendre une ordonnance pénale sans audition. Le fait que le recourant ait demandé à être entendu n’y change rien, ce dernier étant en mesure de se déterminer sur les faits qui lui sont reprochés sans l'aide d'un avocat, la cause ne présentant aucune difficulté particulière en droit. Le recourant ne rend pas vraisemblable que la cause comporterait des spécificités qui justifieraient qu'il soit aidé par un avocat. Enfin, la peine à laquelle s'expose le recourant est inférieure à celle visée à l'art. 132 al. 3 CPP. Il s’agit ainsi d’un "cas bagatelle" au regard de la jurisprudence fédérale. L’une des conditions de la défense d’office faisant défaut, il n’y a pas lieu d’examiner la seconde, soit l’indigence du recourant (art. 132 al. 1 let. b CPP). Au vu de ce qui précède, l’assistance d’un avocat n’est pas nécessaire à la sauvegarde des intérêts de R.________, de sorte que c’est à juste titre que le Ministère public lui a refusé la désignation d’un défenseur d’office.</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3 juillet 2014 est confirmée. III. Les frais d’arrêt, par 440 fr. (quatre cent quarante francs), sont mis à la charge de R.________. IV. Le présent arrêt est exécutoire. Le président :               La greffière : Du L'arrêt qui précède, dont la rédaction a été approuvée à huis clos, est notifié, par l'envoi d'une copie complète, à : - M.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