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706 vom 13. August 2014</w:t>
      </w:r>
    </w:p>
    <w:p>
      <w:r>
        <w:t>VD Tribunal cantonal, 2014-08-13, FR</w:t>
      </w:r>
    </w:p>
    <w:p>
      <w:r>
        <w:rPr>
          <w:b/>
        </w:rPr>
        <w:t xml:space="preserve">Quelle: </w:t>
      </w:r>
      <w:r>
        <w:t>https://mcp.opencaselaw.ch/entscheid/vd_findinfo_D_cision___2014___706</w:t>
      </w:r>
    </w:p>
    <w:p>
      <w:r>
        <w:t>FR: VD_FINDINFO Décision / 2014 / 706 du 13 août 2014</w:t>
      </w:r>
    </w:p>
    <w:p>
      <w:r>
        <w:t>IT: VD_FINDINFO Décision / 2014 / 706 del 13 agosto 2014</w:t>
      </w:r>
    </w:p>
    <w:p>
      <w:pPr>
        <w:pStyle w:val="Heading2"/>
      </w:pPr>
      <w:r>
        <w:t>Regeste</w:t>
      </w:r>
    </w:p>
    <w:p>
      <w:r>
        <w:t>DÉCISION D'IRRECEVABILITÉ | 310 CPP (CH)</w:t>
      </w:r>
    </w:p>
    <w:p>
      <w:pPr>
        <w:pStyle w:val="Heading2"/>
      </w:pPr>
      <w:r>
        <w:t>Erwägungen</w:t>
      </w:r>
    </w:p>
    <w:p>
      <w:r>
        <w:rPr>
          <w:b/>
        </w:rPr>
        <w:t>E. 1</w:t>
      </w:r>
    </w:p>
    <w:p>
      <w:r>
        <w:t>CPP), le recours est recevable.</w:t>
      </w:r>
    </w:p>
    <w:p>
      <w:r>
        <w:rPr>
          <w:b/>
        </w:rPr>
        <w:t>E. 2.1</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2.2</w:t>
      </w:r>
    </w:p>
    <w:p>
      <w:r>
        <w:t>En l’espèce, il semble qu’O.X.________ ait prélevé un montant de 164’902 fr. 60 sur le compte de son époux. Or, ni le fait que les époux vivaient alors sous le régime de la participation aux acquêts, ni celui qu’O.X.________ ait été au bénéfice d’une procuration ne permettent de justifier, en soi, le transfert de la somme litigieuse du compte du recourant sur le compte de l’épouse. A ce stade, le fait que la somme litigieuse puisse être due par le recourant ensuite de la vente d’un immeuble ayant appartenu aux époux n’est pas établi, ce d’autant que l’intéressée a récemment allégué, dans le cadre de la procédure civile, que ce bénéfice devait encore être réparti entre les époux, ce qui pourrait signifier qu’elle ne considère pas que le montant de 164’902 fr. 60  prélevé sur le compte de son époux l’ait été en remboursement de cette prétendue dette. A ce stade, O.X.________ n’a pas répondu à la requête de la Justice de paix tendant à la justification du prélèvement litigieux et on ignore donc si les motifs de ce prélèvement étaient effectivement pertinents. Par ailleurs, le fait que O.X.________ a restitué les titres soustraits ne permet pas de conclure qu’aucune infraction n’aurait été commise. On ne peut donc pas d'emblée exclure que les faits litigieux soient constitutifs d'une infraction pénale. Des auditions et recherches complémentaires apparaissent dès lors nécessaires.</w:t>
      </w:r>
    </w:p>
    <w:p>
      <w:r>
        <w:rPr>
          <w:b/>
        </w:rPr>
        <w:t>E. 3</w:t>
      </w:r>
    </w:p>
    <w:p>
      <w:r>
        <w:t>En définitive, le recours doit être admis et l'ordonnance du 30 juin 2014 annulée, la cause étant renvoyée au Ministère public pour qu'il procède conformément aux considérants. Vu l'issue du recours, les frais de la procédure de recours, constitués en l’espèce du seul émolument d'arrêt, par 550 fr. (art. 20 al. 1 TFIP [tarif des frais de procédure et indemnités en matière pénale du 28 septembre 2010; RSV 312.03.1]), seront laissés à la charge de l'Etat. S’agissant des dépens réclamés par le recourant, il lui appartiendra de soumettre à la fin de la procédure ses prétentions à l’autorité pénale compétente selon l’art. 433 al. 2 CPP (CREP 16 avril 2013/279 c. 4 et les références citées). Par ces motifs, la Chambre des recours pénale, statuant à huis clos, prononce : I. Le recours est admis. II. L'ordonnance du 30 juin 2014 est annulée et le dossier de la cause renvoyé au Ministère public de l'arrondissement de l’Est vaudois pour qu'il procède au sens des considérants. III . Les frais d'arrêt, par 550 fr. (cinq cent cinquante francs), sont laissés à la charge de l'Etat. IV. Le présent arrêt est exécutoire. Le président :               La greffière : Du L'arrêt qui précède, dont la rédaction a été approuvée à huis clos, est notifié, par l'envoi d'une copie complète, à : - Mme Virginie Rodigari, avocate (pour B.X.________),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