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704 vom 8. Juli 2014</w:t>
      </w:r>
    </w:p>
    <w:p>
      <w:r>
        <w:t>VD Tribunal cantonal, 2014-07-08, FR</w:t>
      </w:r>
    </w:p>
    <w:p>
      <w:r>
        <w:rPr>
          <w:b/>
        </w:rPr>
        <w:t xml:space="preserve">Quelle: </w:t>
      </w:r>
      <w:r>
        <w:t>https://mcp.opencaselaw.ch/entscheid/vd_findinfo_D_cision___2014___704</w:t>
      </w:r>
    </w:p>
    <w:p>
      <w:r>
        <w:t>FR: VD_FINDINFO Décision / 2014 / 704 du 8 juillet 2014</w:t>
      </w:r>
    </w:p>
    <w:p>
      <w:r>
        <w:t>IT: VD_FINDINFO Décision / 2014 / 704 del 8 luglio 2014</w:t>
      </w:r>
    </w:p>
    <w:p>
      <w:pPr>
        <w:pStyle w:val="Heading2"/>
      </w:pPr>
      <w:r>
        <w:t>Regeste</w:t>
      </w:r>
    </w:p>
    <w:p>
      <w:r>
        <w:t>SUSPENSION DE LA PROCÉDURE, ENQUÊTE PÉNALE | 144 CP, 314 al. 1 let. a CPP (CH), 393 al. 1 let. a CPP (CH)</w:t>
      </w:r>
    </w:p>
    <w:p>
      <w:pPr>
        <w:pStyle w:val="Heading2"/>
      </w:pPr>
      <w:r>
        <w:t>Erwägungen</w:t>
      </w:r>
    </w:p>
    <w:p>
      <w:r>
        <w:rPr>
          <w:b/>
        </w:rPr>
        <w:t>E. 1</w:t>
      </w:r>
    </w:p>
    <w:p>
      <w:r>
        <w:t>a) Aux termes de l’art. 393 al. 1 let. a CPP (Code de procédure pénale suisse du 5 octobre 2007, RS 312.0), le recours est recevable contre les décisions et les actes de procédure du Ministère public. L'art. 314 al. 5 CPP renvoie, s'agissant de la suspension, aux dispositions applicables au classement (art. 320 ss CPP), en particulier à l'art. 322 al. 2 CPP qui prévoit que les parties peuvent attaquer l’ordonnance de classement dans les dix jours devant l’autorité de recours. Une décision du Ministère public ordonnant la suspension de la procédure est ainsi susceptible de recours selon les art. 393 ss CPP (Cornu, in: Kuhn/Jeanneret (éd.), Commentaire romand, Code de procédure pénale suisse, Bâle 2011, n. 23 ad art. 314 CPP; Omlin, in: Niggli/Heer/Wiprächtiger (éd.), Basler Kommentar, Schweizerische Strafprozessordnung, Jugendstrafprozessordnung, Bâle 2011, n. 44 ad art. 314 CPP; Stephenson/Thiriet, in: Niggli/Heer/Wiprächtiger (éd.), op. cit., n. 10 ad art. 393 CPP; CREP 19 février 2014/139; CREP 10 juin 2013/400 c. 1). Le recours s’exerce auprès de l’autorité de recours (cf. art. 20 al. 1 let. b CPP) qui, dans le canton de Vaud, est la Chambre des recours pénale du Tribunal cantonal (art. 13 LVCPP [Loi d'introduction du Code de procédure pénale suisse du 19 mai 2009, RSV 312.01]; art. 80 LOJV [Loi d'organisation judiciaire du 12 décembre 1979, RSV 173.01]). b) En l'espèce, s'il ne fait pas de doute que le recours a été interjeté en temps utile contre une décision susceptible de recours, il convient de s'interroger sur la qualité de A.J.________ pour recourir. La plainte du 8 mai 2013 (P.6) a été déposée par A.J.________ en tant que "représentant qualifié" de sa fille, qui l'a ratifiée le 22 mai 2013 (P.7). La plainte du 2 août 2013 (P. 8) a été déposée par A.J.________ en son nom personnel. Dans les deux cas, les cases "se porte partie civile" et "dépose plainte pénale" ont été cochées. Cela étant, il faut retenir qu'aussi bien le père que la fille ont fait la déclaration prévue par l'art. 118 al. 1 CPP, cela tant comme demandeurs au pénal que comme demandeurs au civil. La question de savoir qui est véritablement lésé par l'infraction dénoncée est évidemment importante, notamment lorsque l'infraction de dommages à la propriété entre en ligne de compte (ATF 117 IV 437 c. 1b, TF 1P.448/2004 du 4 octobre 2004). Le procureur n'a toutefois pas instruit ce point et n'a pas non plus rendu de décision formelle refusant la qualité de partie plaignante à l'un ou l'autre membre de la famille A.J.________. A ce stade, il convient donc de considérer que le recours est recevable.</w:t>
      </w:r>
    </w:p>
    <w:p>
      <w:r>
        <w:rPr>
          <w:b/>
        </w:rPr>
        <w:t>E. 2</w:t>
      </w:r>
    </w:p>
    <w:p>
      <w:r>
        <w:t>Les recourants contestent le bien-fondé de la suspension ordonnée. Ils souhaitent voir l'instruction se poursuivre. a) En vertu de l’art. 314 al. 1 let. a CPP, le Ministère public peut suspendre une instruction notamment lorsque l’auteur ou son lieu de séjour est inconnu ou qu’il existe des empêchements momentanés de procéder. Avant de décider la suspension, le Ministère public administre les preuves dont il est à craindre qu’elles ne disparaissent. Lorsque l’auteur ou son lieu de séjour est inconnu, il met en œuvre les recherches (art. 314 al. 3 CPP). L’auteur est inconnu, au sens de l’art. 314 al. 1 let. a CPP, lorsque le Ministère public ne dispose pas à son sujet de renseignements permettant de l’identifier par son nom. Avant de suspendre, le Ministère public doit procéder à tous les actes d’enquête qui pourraient amener à l’identification de l’auteur (Cornu, op. cit., n. 5 ad art. 314 CPP). Il convient de procéder dans la mesure du raisonnable à l’administration des preuves utiles et disponibles sans attendre indéfiniment alors qu’aucun obstacle ne s’oppose à l’administration de la preuve. On pensera notamment à l’audition des témoins (Moreillon et Parein-Reymond, Petit commentaire, CPP, Bâle 2013, n. 22 ad art. 314 CPP; Cornu, op. cit., n. 21 ad art. 314 CPP). b) En l'espèce, plusieurs indices laissent penser que F.________ pourrait être l'auteur des déprédations commises, à tout le moins celles du 2 août 2013. D'ailleurs, le procureur semblait dans un premier temps en être lui-même convaincu puisque, le 7 octobre 2013, il a rendu une ordonnance pénale à l'encontre de F.________. Il n'est certes pas exclu que la clôture litigieuse ne soit pas conforme au règlement de la PPE, voire qu'elle se trouve sur la parcelle de L.________, mais ces éléments ne paraissent pas constituer un fait justificatif et les intéressés n'étaient pas en droit d'exercer un acte de justice privée. Dans ces circonstances, il n'est pas compréhensible que le procureur ait suspendu l'instruction de la cause, en se prévalant de l'art. 314 al.1 let. a CPP, dont les conditions d'application ne sont manifestement pas réunies ici: ni l'auteur, ni son lieu de séjour ne sont inconnus et il n'existe pas d'empêchements momentanés de procéder (cf. CREP 5 juin 2013/144). Le Ministère public doit au contraire poursuivre son enquête, notamment en procédant à l'audition des témoins proposés et en éclaircissant les questions du financement de la clôture litigieuse et de la titularité du droit de propriété sur celle-ci. Si, par la suite, les soupçons contre F.________ n'étaient pas confirmés, il appartiendrait au procureur de rendre une ordonnance de classement en ce qui le concerne.</w:t>
      </w:r>
    </w:p>
    <w:p>
      <w:r>
        <w:rPr>
          <w:b/>
        </w:rPr>
        <w:t>E. 3</w:t>
      </w:r>
    </w:p>
    <w:p>
      <w:r>
        <w:t>Il résulte de ce qui précède que le recours doit être admis, l'ordonnance entreprise annulée et le dossier renvoyé au Ministère public pour qu’il procède dans le sens des considérants. Vu l’issue de la cause, les frais de la procédure de recours, constitués en l’espèce du seul émolument d'arrêt, par 660 fr. (art. 20 al. 1 TFIP [tarif des frais de procédure et indemnités en matière pénale; RSV 312.03.1]), seront laissés à la charge de l’Etat (art. 428 al. 4 CPP). La requête tendant à l'octroi de l'assistance judiciaire pour la procédure de recours est dès lors sans objet. Par ces motifs, la Chambre des recours pénale, statuant à huis clos, prononce : I. Le recours est admis. II. L'ordonnance du 21 mai 2014 est annulée et le dossier de la cause renvoyé au Ministère public de l'arrondissement de l'Est vaudois pour qu'il procède dans le sens des considérants. III. Les frais de la procédure de recours, par 660 fr. (six cent soixante francs), sont laissés à la charge de l'Etat. IV. Le présent arrêt est exécutoire. Le président :               La greffière : Du L'arrêt qui précède, dont la rédaction a été approuvée à huis clos, est notifié, par l'envoi d'une copie complète, à : - M. A.J.________, - Mme B.J.________, - M. F.________,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