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692 vom 20. August 2014</w:t>
      </w:r>
    </w:p>
    <w:p>
      <w:r>
        <w:t>VD Tribunal cantonal, 2014-08-20, FR</w:t>
      </w:r>
    </w:p>
    <w:p>
      <w:r>
        <w:rPr>
          <w:b/>
        </w:rPr>
        <w:t xml:space="preserve">Quelle: </w:t>
      </w:r>
      <w:r>
        <w:t>https://mcp.opencaselaw.ch/entscheid/vd_findinfo_D_cision___2014___692</w:t>
      </w:r>
    </w:p>
    <w:p>
      <w:r>
        <w:t>FR: VD_FINDINFO Décision / 2014 / 692 du 20 août 2014</w:t>
      </w:r>
    </w:p>
    <w:p>
      <w:r>
        <w:t>IT: VD_FINDINFO Décision / 2014 / 692 del 20 agosto 2014</w:t>
      </w:r>
    </w:p>
    <w:p>
      <w:pPr>
        <w:pStyle w:val="Heading2"/>
      </w:pPr>
      <w:r>
        <w:t>Regeste</w:t>
      </w:r>
    </w:p>
    <w:p>
      <w:r>
        <w:t>DÉTENTION POUR DES MOTIFS DE SÛRETÉ, SOUPÇON, RISQUE DE FUITE, MESURE DE SUBSTITUTION À LA DÉTENTION, SÛRETÉS | 221 al. 1 let. a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Le recourant conteste tout d'abord l'existence de soupçons de culpabilité suffisants.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premier lieu, lors de l'arrestation collective survenue le 9 juin 2013, une fouille approfondie du véhicule qu'occupaient les co-auteurs présumés a permis de découvrir une cache, dans laquelle du matériel servant à commettre des cambriolages (meule à disques, disques, talkies-walkies, gants, etc.), notamment à ouvrir des coffres-forts, a été trouvé (cf. acte d'accusation du 25 juillet 2014, p. 2). Les profils ADN des quatre personnes à bord du véhicule, y compris celui du recourant, ont été retrouvés sur ces outils. Chacune de ces personnes était en outre en possession d'un téléphone portable d'un modèle identique, très basique. Les seuls contacts enregistrés dans les répertoires de ces téléphones étaient les numéros des co-auteurs présumés. En outre, s'il est vrai que le profil ADN du recourant n'a pas été retrouvé sur les lieux de la quarantaine de cambriolages qui lui sont reprochés (cas 8 à 13 et 15 à 52 de l'acte d'accusation), on a retrouvé celui d'autres co-auteurs présumés arrêtés en sa compagnie. D'autres indices mettent par ailleurs en cause le recourant, en particulier l'étude des communications téléphoniques des co-auteurs présumés (cf. spéc. rapport de police du 26 novembre 2013). En bref, il existe des indices sérieux conduisant à soupçonner le recourant d'être impliqué dans une activité de cambriolages en bande. Au vu de ce qui précède, il existe des soupçons suffisants pour fonder une détention pour des motifs de sûreté.</w:t>
      </w:r>
    </w:p>
    <w:p>
      <w:r>
        <w:rPr>
          <w:b/>
        </w:rPr>
        <w:t>E. 2.3</w:t>
      </w:r>
    </w:p>
    <w:p>
      <w:r>
        <w:t>Le recourant conteste également l'existence des risques de fuite et de collusion retenus par le Tribunal des mesures de contrainte pour fonder la détention.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En l'espèce, il existe un risque de fuite concret. Le recourant, de nationalité italienne, est membre de la communauté des gens du voyage et se déplace en Europe. Si certains des membres de sa famille semblent vivre en Italie de façon stable, l'intéressé n'a en revanche aucun lien avec la Suisse. Compte tenu de l'importance de la peine à laquelle s'expose le recourant au vu des actes qui lui sont reprochés, il est à craindre qu'il soit tenté de se soustraire à la poursuite pénale s'il venait à être libéré. Le fait que l'un des co-prévenus qui seront jugés lors du même procès soit le père du recourant n'est nullement de nature à relativiser ce risque, dès lors qu'on ne voit pas ce qui empêcherait le recourant de fuir sans son père. Les risques fondant la détention pour des motifs de sûreté étant des motifs alternatifs, la question de l’existence d’un éventuel risque de collusion ou de réitération peut demeurer indécise, dès lors que la détention est justifiée par le risque de fuite.</w:t>
      </w:r>
    </w:p>
    <w:p>
      <w:r>
        <w:rPr>
          <w:b/>
        </w:rPr>
        <w:t>E. 3</w:t>
      </w:r>
    </w:p>
    <w:p>
      <w:r>
        <w:t>CPP; cf. ATF 133 I 168 c. 4.1; ATF 132 I 21 c. 4.1). Toutefois, le fait que la peine encourue puisse être assortie du sursis, total ou partiel, n'est pas déterminant sous l'angle de la proportionnalité (ATF 133 I 270 c. 3.4.2). Au vu des actes reprochés au recourant, qui sont graves, la durée de la détention avant jugement subie à ce jour ne s’approche pas encore de la durée de la peine privative de liberté à laquelle il faudrait s’attendre concrètement en cas de condamnation.</w:t>
      </w:r>
    </w:p>
    <w:p>
      <w:r>
        <w:rPr>
          <w:b/>
        </w:rPr>
        <w:t>E. 4</w:t>
      </w:r>
    </w:p>
    <w:p>
      <w:r>
        <w:t>Le recourant propose de fournir des sûretés afin de garantir sa présence aux débats.</w:t>
      </w:r>
    </w:p>
    <w:p>
      <w:r>
        <w:rPr>
          <w:b/>
        </w:rPr>
        <w:t>E. 4.1</w:t>
      </w:r>
    </w:p>
    <w:p>
      <w:r>
        <w:t>Le tribunal compétent ordonne une ou plusieurs mesures moins sévères en lieu et place de la détention si ces mesures permettent d’atteindre le même but que la détention (art. 237 al. 1 CPP).  Selon l'art. 237 al. 2 let. a CPP, fait notamment partie des mesures de substitution la fourniture de sûretés.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 4a;  TF 1P.165/2006 du 19 avril 2006 c. 3.2.1, publié in SJ 2006 I p. 395 ; TF 1B_576/2012 du 19 octobre 2012 c. 5.3). Il convient de faire preuve de prudence quant à l'origine des fonds proposés comme sûretés (TF 1B_576/2012 du 19 octobre 2012 c. 5.3), en particulier lorsque l'instruction porte sur des détournements de fonds (cf. TF 1P.570/2003 du 20 octobre 2003). Enfin, si la caution doit être fournie par un tiers, il y a lieu de prendre en considération les relations personnelles et financières du prévenu avec cette personne (TF 1P.690/2004 du 14 décembre 2004 c. 2.4.3 et les références citées). En l’absence de renseignements suffisants sur les personnes appelées à servir de caution et sur l’origine des fonds proposés, il n’est pas possible d’apprécier la garantie apportée (TF 1B_576/2012 du 19 octobre 2012 c. 5.3).</w:t>
      </w:r>
    </w:p>
    <w:p>
      <w:r>
        <w:rPr>
          <w:b/>
        </w:rPr>
        <w:t>E. 4.2</w:t>
      </w:r>
    </w:p>
    <w:p>
      <w:r>
        <w:t>En l'espèce, compte tenu de la nature des actes reprochés au recourant et de l'importance du butin estimé, une certaine prudence s'impose. Le recourant se borne à se déclarer prêt, sur le principe, à déposer des sûretés pour garantir sa présence aux débats, sans fournir la moindre indication concrète permettant d'apprécier l'adéquation de la mesure de substitution proposée. Dans son acte de recours, le recourant ne précise en particulier ni le montant ni l'origine des fonds qui seraient offerts en garantie. Les conditions pour considérer qu'un dépôt de sûretés constitue une mesure de substitution adéquate ne sont dès lors pas réunies.</w:t>
      </w:r>
    </w:p>
    <w:p>
      <w:r>
        <w:rPr>
          <w:b/>
        </w:rPr>
        <w:t>E. 5</w:t>
      </w:r>
    </w:p>
    <w:p>
      <w:r>
        <w:t>Enfin, il se justifie de fixer d'emblée l'échéance de la durée maximale de la détention pour des motifs de sûreté au 5 décembre 2014, date prévisible du jugement de première instance, quand bien même la détention aura alors dépassé de quelques semaines la durée ordinaire de trois mois, étant rappelé qu'elle peut être d'emblée fixée à six mois pour les cas exceptionnels (cf. art. 227 al. 7 et 229 al. 3 let. b CPP; ATF 137 IV 180 c. 3.5). Rien n'indique en effet que le risque de fuite qui fonde la détention pourrait disparaître dans l'intervalle.</w:t>
      </w:r>
    </w:p>
    <w:p>
      <w:r>
        <w:rPr>
          <w:b/>
        </w:rPr>
        <w:t>E. 6</w:t>
      </w:r>
    </w:p>
    <w:p>
      <w:r>
        <w:t>En définitive, le recours doit être rejeté sans autre échange d’écritures (art. 390 al. 2 CPP) et l'ordonnance du 5 août 2014 confirmée. L’indemnité due au défenseur d’office du recourant sera fixée à 450 fr., plus la TVA, par 36 fr., ce qui porte le montant alloué à 486 francs.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par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5 août 2014 est confirmée. III. L’indemnité due au défenseur d’office de L.________ est fixée à 486 fr. (quatre cent huitante-six francs). IV. L'émolument d’arrêt, par 770 fr. (sept cent septante francs), ainsi que l’indemnité due au défenseur d’office de L.________, par 486 fr. (quatre cent huitante-six francs), sont mis à la charge de ce dernier. V. Le remboursement à l’Etat de l’indemnité allouée au chiffre III ci-dessus sera exigible pour autant que la situation économique de L.________ se soit améliorée. VI. Le présent arrêt est exécutoire. Le président :               Le greffier : Du L'arrêt qui précède, dont la rédaction a été approuvée à huis clos, est notifié, par l'envoi d'une copie complète, à : - M. Adrien Gutowski, avocat (pour L.________), - Ministère public central, et communiqué à : ‑ M. le Président du Tribunal des mesures de contrainte, - Mme la Procureure de l’arrondissement de La Côte, - M. le Président du Tribunal criminel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