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691 vom 13. August 2014</w:t>
      </w:r>
    </w:p>
    <w:p>
      <w:r>
        <w:t>VD Tribunal cantonal, 2014-08-13, FR</w:t>
      </w:r>
    </w:p>
    <w:p>
      <w:r>
        <w:rPr>
          <w:b/>
        </w:rPr>
        <w:t xml:space="preserve">Quelle: </w:t>
      </w:r>
      <w:r>
        <w:t>https://mcp.opencaselaw.ch/entscheid/vd_findinfo_D_cision___2014___691</w:t>
      </w:r>
    </w:p>
    <w:p>
      <w:r>
        <w:t>FR: VD_FINDINFO Décision / 2014 / 691 du 13 août 2014</w:t>
      </w:r>
    </w:p>
    <w:p>
      <w:r>
        <w:t>IT: VD_FINDINFO Décision / 2014 / 691 del 13 agosto 2014</w:t>
      </w:r>
    </w:p>
    <w:p>
      <w:pPr>
        <w:pStyle w:val="Heading2"/>
      </w:pPr>
      <w:r>
        <w:t>Regeste</w:t>
      </w:r>
    </w:p>
    <w:p>
      <w:r>
        <w:t>SÉQUESTRE{MESURE PROVISIONNELLE}, LÉSÉ | 70 al. 1 CP, 70 al. 2 CP, 71 al. 1 CP, 263 al. 1 let. c CPP (CH), 263 al. 1 let. d CPP (CH), 263 CPP (CH)</w:t>
      </w:r>
    </w:p>
    <w:p>
      <w:pPr>
        <w:pStyle w:val="Heading2"/>
      </w:pPr>
      <w:r>
        <w:t>Erwägungen</w:t>
      </w:r>
    </w:p>
    <w:p>
      <w:r>
        <w:rPr>
          <w:b/>
        </w:rPr>
        <w:t>E. 1</w:t>
      </w:r>
    </w:p>
    <w:p>
      <w:r>
        <w:t>Le recours a été interjeté en temps utile (art. 396 al. 1 CPP [Code de procédure pénale suisse; RS 312.0]) contre une ordonnance de séquestre rendue par le ministère public (art. 263 et 393 al. 1 let. a CPP ; Bommer/Goldschmid, in : Niggli/Heer/Wiprächtiger (éd.), Basler Kommentar, Schweizerische Strafprozessordnung, Jugendstrafprozessordnung, Bâle 2011, n. 66 ad art. 263 CPP). En sa qualité de titulaire des comptes bancaires visés par le séquestre, L.________ SA doit être considérée comme tiers touché par un acte de procédure (cf. art. 105 al. 2 CPP) et se voir reconnaître la qualité pour recourir (art. 382 al. 1 CPP ; Calame, in : Kuhn/Jeanneret (éd.), Commentaire romand, Code de procédure pénale suisse, Bâle 2011, nn. 5 et 14 ad art. 382 CPP ; CREP 15 janvier 2014/13 ; CREP 19 novembre 2012/720). Le recours est donc recevable en ce qui concerne la société L.________ SA. Il n’en va pas de même, en revanche, de D.________, qui, en sa seule qualité d’administratrice de cette société, n’est pas personnellement et directement touchée par la décision litigieuse (art. 382 al. 1 CPP). Aussi, n’est-elle pas habilitée à recourir contre cette dernière. Le recours, en ce qu’il émane de D.________, est par conséquent irrecevable.</w:t>
      </w:r>
    </w:p>
    <w:p>
      <w:r>
        <w:rPr>
          <w:b/>
        </w:rPr>
        <w:t>E. 2</w:t>
      </w:r>
    </w:p>
    <w:p>
      <w:r>
        <w:t>2.1.1 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prima facie , subsiste (ATF 139 IV 250 c. 2.1 p. 252 s.; ATF 137 IV 145 c. 6.4 p. 151 s. et les références citées; TF 1B_127/2013 du 1 er mai 2013 c. 2; TF 1P.405/1993 du 8 novembre 1993 c. 3 publié in SJ 1994 p. 90). L'autorité doit pouvoir décider rapidement du séquestre provisoire (cf. art. 263 al. 2 CPP), ce qui exclut qu'elle résolve des questions juridiques complexes ou qu'elle attende d'être renseignée de manière exacte et complète sur les faits avant d'agir. Le séquestre conservatoire peut être maintenu tant que subsiste la probabilité d'une confiscation, l'intégralité des fonds devant demeurer à disposition de la justice aussi longtemps qu'il existe un doute sur la part des fonds qui pourrait provenir d'une activité criminelle (TF 1B_365/2012 du 10 septembre 2012 c. 3.1 et les réf. cit.). 2.1.2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 5.3 et les arrêts cités).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(ATF 129 II 453 c. 4.1 p. 461; TF 1B_185/2007 du 30 novembre 2007 c. 9). 2.1.3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Conformément à l'art. 71 al. 1 CP, une créance compensatrice ne peut pas non plus être prononcée contre un tiers si les conditions de l'art. 70 al. 2 CP sont réalisées. La confiscation à l’égard d’un tiers ne sera possible que si celui-ci a une connaissance certaine des faits qui auraient justifié la confiscation ou, à tout le moins, qu’il considère leur existence comme sérieusement possible, soit qu’il connaisse les infractions d’où provenaient les valeurs ou, du moins, ait eu des indices sérieux que les valeurs provenaient d’une infraction. En d’autres termes, il faut que le tiers ait une connaissance – correspondant au dol éventuel – des faits justifiant la confiscation (Dupuis/Geller/Monnier/Moreillon/Piguet/Bettex/Stoll (éd.), Petit commentaire, Code pénal, 2012, n. 21 ad art. 70 CP et les réf. cit.). Pour échapper à la confiscation, il ne suffit pas que le tiers ait été de bonne foi au moment de l’acquisition des valeurs patrimoniales litigieuses; il faut encore que cette bonne foi subsiste au moment où le tiers accomplit sa contre-prestation (Dupuis et alii, op. cit., n. 23 ad art. 70 CP et les réf. cit. ; TF 1S.5/2006 du 5 mai 2006, c. 3.2, publié in SJ 2006 I p. 489).</w:t>
      </w:r>
    </w:p>
    <w:p>
      <w:r>
        <w:rPr>
          <w:b/>
        </w:rPr>
        <w:t>E. 2.2</w:t>
      </w:r>
    </w:p>
    <w:p>
      <w:r>
        <w:t>En l’espèce, comme l’a relevé la Chambre pénale de recours du canton de Genève, il existe des soupçons suffisants d’escroquerie au préjudice de R.________ et de X.________ à hauteur de 300'000 euros. Ces soupçons résultent des pièces produites par R.________, lesquelles comprennent des documents typiques des escroqueries à l’investissement, tels que contrat d’investissement à rendement particulièrement élevé et certificat d’actions au nom de T.________ Corp. L’échange de correspondance entre R.________ et les animateurs d’O.________ révèle en outre des atermoiements qui peuvent passer pour caractéristiques de ce genre d’agissements (cf. P. 5/2, nos 101/3, 106/3, 112/1, 117/1, 149, 171). En particulier dans le dernier échange de courriel, du 14 juin 2013, le responsable d’O.________ indique que son actionnaire majoritaire est bloqué depuis plusieurs semaines en Turquie et qu’une grande partie de ses fonds se trouve dans ce pays (P. 5/2, no 196). Ces échanges étant postérieurs à l’offre faite le 30 novembre 2011 par B.________ SA de racheter ses actions à X.________ (P. 37/1), la valeur d’une telle proposition, qui ne paraît du reste pas exclure des procédés frauduleux antérieurs, doit être relativisée. La recourante insiste sur le fait que le fait que plusieurs conventions et actes au dossier comportent la légalisation des signatures des lésés (cf. P. 5/1, nos 17, 18, 19, 20, 33 et 40). Le fait que ceux-ci aient bien signé les actes en question ne permet pas de nier l’existence de procédés frauduleux. En effet, la question décisive est de savoir de quelle manière, et moyennant quelles garanties, ils ont été amenés à opérer des virements en faveur de L.________ SA, puis de signer les actes litigieux. On peine en effet à comprendre que les lésés aient accepté de revendre leurs actions pour 1 fr., alors qu’ils venaient de les acquérir pour 200'000, respectivement 100'000 euros. Cela est d’autant plus surprenant que O.________ SA, dans son son courriel du 14 juin 2013 à R.________, continue de lui promettre le remboursement (P. 5/2, no 196). Enfin, le montant des fonds séquestrés de 300'000 euros équivaut au produit présumé de l’infraction. Ces avoirs correspondent aux virements que les lésés auraient été déterminés à opérer, parce qu’ils auraient été trompés astucieusement sur la nature de l’investissement et le rendement promis. Le lien de connexité entre les fonds saisis et les infractions dénoncées est donc établi.</w:t>
      </w:r>
    </w:p>
    <w:p>
      <w:r>
        <w:rPr>
          <w:b/>
        </w:rPr>
        <w:t>E. 2.3</w:t>
      </w:r>
    </w:p>
    <w:p>
      <w:r>
        <w:t>La recourante L.________ SA affirme être étrangère à toute infraction et invoque sa bonne foi. Elle soutient en outre avoir fourni une contre-prestation adéquate, si bien que les avoirs séquestrés ne sont pas susceptibles de confiscation au sens de l’art. 70 al. 2 CP, Les explications fournies par L.________ aux fins de lever le séquestre ne sont pas convaincantes. Certes, il est établi qu’elle a fourni des prestations pour le compte de H.________ et de S.________. Toutefois, les factures produites par la recourante n’atteignent pas 300'000 euros, soit le montant total investi par les lésés pour l’acquisition des actions de B.________ SA. Certaines des factures produites (obtention de permis, recherche d’appartement), qui concernent par ailleurs exclusivement et personnellement H.________ et S.________, sont ainsi sans aucun rapport avec le prix d’acquisition. Enfin, c’est Fiduciaire N.________ Sàrl qui a acheté et revendu le manteau d’actions, et non L.________ SA. Faute de relation contractuelle documentée entre ces deux sociétés, on ignore à quel titre la recourante a perçu les avoirs séquestrés. La recourante n’a pas non plus fourni d’explication entre la disproportion entre le prix d’achat de B.________ SA, soit 50'000 fr., et son prix de revente aux lésés, soit 300'000 euros. La cession gratuite des actions de B.________ SA à H.________ et S.________ intervient avant le 18 mai 2011, date à laquelle D.________ en est informée, alors que l’acquisition du manteau d’actions par les lésés est postérieure aux 23 et 24 mars 2011, mais antérieure au 10 juin 2011, date de la légalisation de leurs signatures. De nouveaux contrats de cession des actions à 1 fr. sont ensuite remis en septembre 2011. Il semble donc, comme l’a relevé le Ministère public genevois, qu’avant même l’acquisition de B.________ SA par les lésés, il était prévu que les actions de cette société reviennent gratuitement à H.________ et à S.________. Or, la recourante, mandatée pour acquérir B.________ SA à la fin du mois de mars 2011, ne paraît pas s’être inquiétée de ce procédé, pour le moins insolite, et qui aurait dû l’alerter. Comme l’a relevé la Chambre pénale de recours du canton de Genève, on peut s’interroger sur le fait que D.________ soit entrée en relation d’affaires avec H.________ et S.________ tout en admettant n’avoir jamais très bien compris de quels projets ils s’occupaient en France. De même, les activités de [...] et [...] SA, dont H.________ était l’administrateur, avaient fait l’objet d’une mise en garde de la part de l’Autorité française des marchés financiers le 13 août 2011, ce qui n’a pas dû échapper à la recourante (P. 5/1, no 13 et P. 5/1, no 1-9). Il résulte des éléments exposés ci-dessus que la bonne foi de L.________ SA ne peut être tenue pour établie, pas plus que le caractère adéquat de la contre-prestation qu’elle dit avoir fournie en échange de la somme de 300'000 euros reçue sur son compte. Au stade de la vraisemblance, les conditions d’un séquestre en vue de confiscation ou de restitution aux lésés (cf. ATF 140 IV 57 c. 4.2) sont donc réalisées. Les explications fournies par L.________ SA postérieurement à l’arrêt de la Chambre pénale de recours du canton de Genève du 11 juillet 2013 ne sont pas de nature à modifier cette appréciation (P. 13, 25, 28, 37 et 45). En particulier, le contrat de vente d’actions daté du 6 septembre 2012 (cf. P. 29/7), comme le relève le Ministère public central, ne suffit pas à exclure le caractère douteux des opérations financières impliquant L.________ SA. Il en va de même, ainsi qu’on l’a vu (cf. considérant 2.2 ci-dessus), de l’offre faite le 30 novembre 2011 par B.________ à X.________ de lui racheter ses actions pour 100'000 euros (P. 37/1).</w:t>
      </w:r>
    </w:p>
    <w:p>
      <w:r>
        <w:rPr>
          <w:b/>
        </w:rPr>
        <w:t>E. 2.4</w:t>
      </w:r>
    </w:p>
    <w:p>
      <w:r>
        <w:t>La recourante se plaint que l’on ignore les infractions dont R.________ aurait été victime, l’identité des auteurs ou des bénéficiaires des actes incriminés, que, malgré des demandes répétées, la direction de la procédure n’a à ce jour entendu personne et que l’enquête ne progresse pas. L’instruction pénale a été ouverte le 19 juillet 2012 contre inconnu pour abus de confiance, escroquerie et faux dans les titres. C’est donc sous ces qualifications que doivent être appréciés les actes dont R.________ et X.________ auraient été victimes. Il est vrai que depuis que la cause a été reprise par le Ministère public central vaudois le 24 juillet 2013, l’enquête, si l’on excepte la procédure de fixation de for, n’a pas beaucoup avancé. Elle n’est toutefois pas restée au point mort, puisque le Ministère public a, les 18 octobre 2013 et 12 février 2014, adressé aux autorités judiciaires françaises deux demandes d’entraide judiciaires internationale tendant à l’audition de X.________ (P. 20) et de R.________ (P. 34). Ces demandes ont été exécutées, les intéressés ayant été entendus en France respectivement le 24 novembre 2013 et le 8 avril 2014 (PV aud. 4 et 5). Le fait que le procureur n’ait pas procédé à l’audition des personnes concernées qui demeurent en Suisse ne saurait entraîner une levée du séquestre et ne constitue pas un déni de justice, ce que la recourante n’allègue d’ailleurs pas. Enfin, on relève que la confiscation, en vue de laquelle le séquestre est maintenu, peut être prononcée indépendamment du fait que l’auteur de l’infraction soit identifié, poursuivable ou condamnable (Dupuis et al., op. cit., n. 12 ad art. 70 CP, et les références cités). N’est donc pas déterminant le fait que personne à ce jour n’ait été formellement entendu en qualité de prévenu.</w:t>
      </w:r>
    </w:p>
    <w:p>
      <w:r>
        <w:rPr>
          <w:b/>
        </w:rPr>
        <w:t>E. 2.5</w:t>
      </w:r>
    </w:p>
    <w:p>
      <w:r>
        <w:t>Il résulte de ce qui précède qu’à ce stade de la procédure, la décision de refuser de lever le séquestre à hauteur de 300'000 euros ne prête pas le flanc à la critique.</w:t>
      </w:r>
    </w:p>
    <w:p>
      <w:r>
        <w:rPr>
          <w:b/>
        </w:rPr>
        <w:t>E. 3</w:t>
      </w:r>
    </w:p>
    <w:p>
      <w:r>
        <w:t>En définitive, le recours de D.________ doit être déclaré irrecevable. Celui de L.________ SA, manifestement mal fondé, sera rejeté, sans autres échanges d’écritures (art. 390 al. 2 CPP), et l’ordonnance du 23 juillet 2014 confirmée. Vu l’issue de la procédure de recours, les frais d'arrêt, par 1’430 fr. (art. 20 al. 1 TFJP [tarif des frais de procédure et indemnités en matière pénale du 28 septembre 2010; RSV 312.03.1]), doivent être mis à la charge d’D.________ et L.________, qui succombent l’un et l’autre (art. 428 al. 1 CPP), à parts égales, soit 715 fr., et solidairement entre elles (art. 418 al. 1 et 2 CPP). Par ces motifs, la Chambre des recours pénale, statuant à huis clos, prononce : I. Le recours d’D.________ est irrecevable. II. Le recours de L.________ SA est rejeté. III. L’ordonnance du 23 juillet 2014 est confirmée. IV. Les frais d’arrêt, par 1'430 fr. (mille quatre cent trente francs), sont mis à la charge de D.________ et de L.________ SA, à parts égales, soit 715 fr. (sept cent quinze francs), et solidairement entre elles. V. Le présent arrêt est exécutoire. Le vice-président : Le greffier : Du L'arrêt qui précède, dont la rédaction a été approuvée à huis clos, est notifié, par l'envoi d'une copie complète, à : - M. Serge Rouvinet, avocat (pour D.________ et L.________ SA), - Crédit Suisse AG,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