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681 vom 7. Mai 2014</w:t>
      </w:r>
    </w:p>
    <w:p>
      <w:r>
        <w:t>VD Tribunal cantonal, 2014-05-07, FR</w:t>
      </w:r>
    </w:p>
    <w:p>
      <w:r>
        <w:rPr>
          <w:b/>
        </w:rPr>
        <w:t xml:space="preserve">Quelle: </w:t>
      </w:r>
      <w:r>
        <w:t>https://mcp.opencaselaw.ch/entscheid/vd_findinfo_D_cision___2014___681</w:t>
      </w:r>
    </w:p>
    <w:p>
      <w:r>
        <w:t>FR: VD_FINDINFO Décision / 2014 / 681 du 7 mai 2014</w:t>
      </w:r>
    </w:p>
    <w:p>
      <w:r>
        <w:t>IT: VD_FINDINFO Décision / 2014 / 681 del 7 maggio 2014</w:t>
      </w:r>
    </w:p>
    <w:p>
      <w:pPr>
        <w:pStyle w:val="Heading2"/>
      </w:pPr>
      <w:r>
        <w:t>Regeste</w:t>
      </w:r>
    </w:p>
    <w:p>
      <w:r>
        <w:t>LÉSION CORPORELLE PAR NÉGLIGENCE, FAUTE PROFESSIONNELLE, DEVOIR PROFESSIONNEL, OBLIGATION DE RENSEIGNER | 125 al. 1 CP, 319 CPP (CH), 391 CPP (CH)</w:t>
      </w:r>
    </w:p>
    <w:p>
      <w:pPr>
        <w:pStyle w:val="Heading2"/>
      </w:pPr>
      <w:r>
        <w:t>Erwägungen</w:t>
      </w:r>
    </w:p>
    <w:p>
      <w:r>
        <w:rPr>
          <w:b/>
        </w:rPr>
        <w:t>E. 1</w:t>
      </w:r>
    </w:p>
    <w:p>
      <w:r>
        <w:t>Les parties peuvent attaquer une ordonnance de classement rendue par le ministère public (cf. art. 319 ss CPP)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382 al. 1 CPP), le recours est donc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a) En vertu de l’art. 125 al. 1 CP, celui qui, par négligence, aura fait subir à une personne une atteinte à l’intégrité corporelle ou à la santé sera, sur plainte, puni d’une peine privative de liberté de trois ans au plus ou d’une peine pécuniaire. L’al. 2 de ce même article prévoit une poursuite d’office en cas de lésions graves. L’infraction de lésions corporelles par négligence, prévue par l'art. 125 CP, consiste dans le fait de causer à autrui, par négligence, des lésions corporelles au sens de l'art. 123 CP. Elle est réalisée lorsque trois éléments sont réunis: une négligence commise par l'auteur, une lésion corporelle subie par la victime et un lien de causalité naturelle et adéquate entre la négligence et la lésion (Dupuis/Geller/Monnier/Moreillon/Piguet/Bettex/Stoll (éd.), Petit commentaire du Code pénal, Bâle 2012, n. 2 ad art. 125 CP). Un comportement est la cause naturelle d'un résultat s'il en constitue l'une des conditions sine qua non (Dupuis et alii, op. et loc. cit., n. 42 ad art. 12 CP et les arrêts cités). Autrement dit, il y a un lien de causalité naturelle entre le comportement illicite de l'auteur et l'atteinte portée aux biens pénalement protégés lorsque la suppression du premier entraîne nécessairement celle de la seconde (ATF 115 IV 100 c. 2a et l’arrêt cité). b) Selon la jurisprudence, toute intervention médicale qui porte atteinte à l'intégrité corporelle remplit les éléments constitutifs objectifs de l'infraction de lésions corporelles. Un critère fondé sur l'objectif de santé poursuivi par l'acte médical en cause ne saurait être retenu pour départager ce qui est licite de ce qui est illicite, dès lors qu'un tel concept est sujet à interprétation et à des définitions diverses. A cela s'ajoute que le point de vue médical et les conceptions personnelles des patients ne sont pas nécessairement identiques pour définir ce qu'est la santé ou la maladie. On ne saurait dès lors affirmer que le choix du patient sera toujours et nécessairement conforme aux indications du médecin. Ainsi, même lorsqu'il est médicalement indiqué, selon l'avis du médecin et qu'il est accompli d'après les règles de l'art, tout acte qui entame la substance même du corps humain (par exemple une amputation), qui limite au moins provisoirement la capacité corporelle ou qui porte atteinte ou aggrave de manière non insignifiante le bien-être du patient doit être considéré comme une lésion corporelle (ATF 124 IV 258 c. 2, JT 2001 IV 2). Toute atteinte à l'intégrité corporelle est illicite à moins qu'il n'existe un fait justificatif. Dans le domaine médical, la justification de l'atteinte ne peut en principe venir que du consentement du patient, exprès ou que l'on peut présumer (TF 6B_640/2007 du 11 février 2008 c. 3.1 ; ATF 124 IV 258 c. 2, JT 2001 IV 2). Pour être efficace, le consentement doit être éclairé, ce qui suppose que le praticien renseigne suffisamment le malade pour que celui-ci donne son accord en connaissance de cause (ATF 119 II 456 c. 2a ; ATF 117 Ib 197 c. 2a et les arrêts cités). c) La négligence est l’imprévoyance coupable commise par celui qui, ne se rendant pas compte des conséquences de son acte, agit sans user des précautions commandées par les circonstances et sa situation personnelle (art. 12 al. 3 CP). Ainsi, deux conditions doivent être remplies pour qu’il y ait négligence. Il faut, en premier lieu, que l’auteur viole les règles de la prudence, à savoir le devoir général de diligence qui interdit tout comportement quelconque mettant en danger les biens d’autrui pénalement protégés contre les atteintes involontaires (TF 6B_85212010 du 4 avril 2011, c. 3.1 ; ATF 134 IV 255 c. 4.2.3). Pour déterminer le contenu du devoir de prudence, il faut se demander si une personne raisonnable dans la même situation et avec les mêmes aptitudes que l’auteur aurait pu prévoir, dans les grandes lignes, le déroulement des événements. Cette question s’examine suivant la théorie de la causalité adéquate. En second lieu, pour qu’il y ait négligence, il faut que la violation du devoir de prudence soit fautive, à savoir que l’on puisse reprocher à l’auteur, compte tenu de ses circonstances personnelles, une inattention ou un manque d’effort blâmable (TF 6B_85212010 précité, c. 3.1 ; ATF 1341V 255 c. 4.2.3). Une condamnation pour lésions corporelles par négligence suppose donc que l’auteur ait provoqué le résultat en violant un devoir de prudence. Dans le cas d’interventions médicales, pour déterminer l’étendue de la prudence requise, il faut partir du devoir général qu’a le médecin d’exercer l’art de la guérison selon les principes reconnus de la science médicale et de l’humanité, de tout entreprendre pour guérir le patient et d’éviter tout ce qui pourrait lui porter préjudice.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Le médecin répond en principe de tout manquement à ses devoirs (ATF 120 lb 411 c. 4a, JT 1995 I 554 ; ATF 130 IV 7 précité, c. 3.3). Ces règles s’appliquent de la même manière lorsqu’il s’agit de déterminer le devoir de prudence d’un point de vue pénal (ATF 1301V 7 précité, c. 3.3). La notion de manquement à ses devoirs ne doit cependant pas être comprise de telle manière que chaque acte ou omission qui, par un jugement a posteriori, aurait provoqué le dommage ou l’aurait évité, entrerait dans cette définition (cf. ATF 57 11196 c. 3). Le médecin ne doit en principe pas répondre des dangers et des risques qui sont inhérents à tout acte médical ainsi qu’à toute maladie. Le médecin ne viole ses devoirs que lorsqu’il pose un diagnostic ou choisit une thérapie ou une autre méthode qui, selon l’état général des connaissances professionnelles, n’apparaît plus défendable et ne satisfait ainsi pas aux exigences objectives de l’art médical (ATF 120 lb 411, précité, c. 4a). d) Un comportement est la cause naturelle d’un résultat s’il en constitue l’une des conditions sine qua non. Lorsque la causalité naturelle est retenue, il faut encore se demander si le rapport de causalité peut être qualifié d’adéquat, c’est-à-dire si le comportement de l’auteur était propre, selon une appréciation objective, à entraîner un résultat du genre de celui qui s’est produit ou à en favoriser l’avènement, de telle sorte que la raison conduit naturellement à imputer le résultat à la commission de l’acte (ATF 1341V 255 c. 4.4.2 ; ATF 131 IV 145 c. 5.1 et les arrêts cités).</w:t>
      </w:r>
    </w:p>
    <w:p>
      <w:r>
        <w:rPr>
          <w:b/>
        </w:rPr>
        <w:t>E. 4</w:t>
      </w:r>
    </w:p>
    <w:p>
      <w:r>
        <w:t>Dans un premier moyen, la recourante conteste que l’intervention qu’elle a subie ait été réalisée conformément aux règles de l’art comme l’a retenu le procureur (cf. chiffre 7 de l’ordonnance de classement). Préliminairement, il y a lieu de relever que la recourante avait requis une « nouvelle » expertise dans le délai de prochaine clôture (P. 46, p. 2). Toutefois, cette réquisition a été écartée par le procureur et n’a pas été renouvelée dans le cadre du présent recours. Les avis médicaux figurant au dossier sont suffisants pour permettre à l’autorité de statuer en toute connaissance de cause, notamment en s’appuyant sur les éléments amenés par le Professeur W.________ dans le cadre de son audition du</w:t>
      </w:r>
    </w:p>
    <w:p>
      <w:r>
        <w:rPr>
          <w:b/>
        </w:rPr>
        <w:t>E. 5</w:t>
      </w:r>
    </w:p>
    <w:p>
      <w:r>
        <w:t>La recourante soutient ensuite que son suivi post-opératoire n’avait pas été conforme aux règles de l’art (cf. chiffre 8 de l’ordonnance de classement). Elle s’appuie pour ce faire sur la deuxième réponse du rapport du Professeur V.________ (P. 40, p. 1) dans laquelle, selon elle, l’expert admet implicitement un manquement du médecin car « celui-ci relève que la clinique prime sur tout type d’investigation accessoire ». A cet égard, il appert qu’à la deuxième question du rapport (P. 40, p. 1), dont la teneur était la suivante : « Au vu des symptômes présentés par la patiente (douleurs invalidantes dans le territoire T11-T12 après l’opération et encore plusieurs jours après la sortie de l’hôpital), plusieurs diagnostics différents auraient-ils dû être envisagés ? », le Professeur V.________ a répondu : « Ce sont les caractéristiques des symptômes et des signes cliniques qui vont orienter le médecin dans son diagnostic différentiel. En l’absence d’élément clinique en faveur d’un syndrome inflammatoire, infectieux ou hémorragique, et si la symptomatologie douloureuse prédomine, le médecin orientera son diagnostic vers une possible complication de la chirurgie pariétale. Dans ce domaine, la clinique prime sur tout type d’investigation accessoire ». De cette réponse, on ne saurait déduire d’élément suffisant pour retenir une violation des règles de l’art dans le suivi post-opératoire de la recourante. Contrairement à ce que la recourante affirme, ses plaintes de douleurs ensuite de son opération ont été écoutées. En effet, une fois informé des douleurs dans la paroi abdominale que ressentait J.________, le Dr K.________ a organisé un scanner à la clinique Cécil. Il a également mis la patiente sous antibiotiques après avoir fait sauter deux points de la plaie en lui changeant son pansement. Il a encore ausculté l’intéressée en présence du Dr G.________ afin de comprendre les raisons de ses douleurs. Puis il a fait procéder à un ultrason de la paroi abdominale afin d’exclure toute infection (PV aud. 4, p. 3). Comme l’a relevé dans son avis le Professeur V.________, le rôle du médecin est d’entreprendre les démarches diagnostics et thérapeutiques nécessaires pour éviter l’installation d’un syndrome douloureux chronique (P 34, p. 2, réponse 3). En l’occurrence, le suivi post-opératoire effectué par le Dr K.________ a répondu à ses exigences. Par ailleurs, il faut également relever que c’est la recourante qui a refusé de retourner à l’Z.________ alors que les Drs G.________ et K.________ lui en avaient fait la proposition. De plus, c’est bien le Dr K.________ qui a organisé l’hospitalisation de la recourante à l’Hôpital de [...] pour des examens post-opératoires (PV aud. 4, p. 4). Or ces examens, pratiqués par les médecins de [...], n’ont rien révélé du problème de suture non plus (P. 16/2). Comme le procureur l’a relevé dans son ordonnance, le fait que les urologues n’aient pas pensé immédiatement à une lésion neurologique n’est pas constitutif d’une négligence, le professeur W.________ ayant clairement estimé qu’il n’était pas étonnant que les médecins n’aient pas envisagé cette hypothèse quand bien même il y aurait lui-même pensé en raison de sa spécialisation (cf. ordonnance de classement, p. 7). Ce dernier a d’ailleurs lui-même reconnu que les médecins avaient cherché une solution et avaient tenu compte de la douleur de J.________, ce qui était positif (PV aud. 3, p. 3). A ce stade, il n’y a aucun élément qui puisse appuyer la thèse de la recourante quant à une violation des règles de l’art au sens de la jurisprudence précitée.</w:t>
      </w:r>
    </w:p>
    <w:p>
      <w:r>
        <w:rPr>
          <w:b/>
        </w:rPr>
        <w:t>E. 6</w:t>
      </w:r>
    </w:p>
    <w:p>
      <w:r>
        <w:t>La recourante se plaint également de l’information qu’elle a reçue et considère que le devoir de renseigner n’aurait pas été correctement appliqué. Le déficit d’information porterait sur le fait qu’elle avait requis la présence de son médecin urologue, le Dr K.________, et qu’elle n’aurait pas donné son accord à ce qu’un autre médecin pratique l’opération. Si elle avait su que le Dr K.________ ne procèderait pas à personnellement à l’intervention, elle aurait refusé de se faire opérer (cf. ch. 12 ordonnance de classement). En l’espèce, la recourante s’appuie sur le témoignage de son médecin traitant, le Dr D.________. Celui-ci a déclaré que « (…) Selon ce que je sais, ce docteur [Dr K.________] a dit à J.________ qu’il ne pouvait procéder à l’opération qu’à Montreux. Pour ma part, je trouve que ce médecin n’a pas été correct, car ce n’est pas lui qui a pratiqué l’acte chirurgical. Il n’a pas informé J.________ que ce serait un autre médecin qui procéderait à l’opération. Pour ma part, je suis parti du principe qu’il pratiquerait l’opération puisqu’il a proposé à J.________ de l’opérer à Montreux. Je précise que deux mois avant l’opération de J.________ un ami qui habite Montreux avait préféré se faire opérer à Morges. (...). Puisque J.________ avait confiance en le (sic) Dr K.________, je n’ai pas interféré dans la relation (...) » (PV aud. 5, pp. 2-3). Ces déclarations doivent être retenues avec prudence. Non seulement elles ne sont pas réellement claires sur ce qu’il faut comprendre de la critique, mais le Dr D.________ et la recourante ont des liens étroits, puisqu’il ressort d’une feuille d’évolution du dossier médical de la recourante à l’Z.________ que « Son compagnon est venu lui rendre visite il est aussi son médecin traitant » (cf. dossier médical sous séquestre n°187). Quoi qu’il en soit, dans son ordonnance de classement, le procureur n’a pas nié que l’information du Dr K.________ avait été insuffisante quant à l’identité du médecin qui procèderait à l’intervention (cf. ordonnance de classement, p. 11). Il n’en reste pas moins que c‘est à bon droit que le magistrat a relevé que l’on pouvait supposer que la recourante aurait de toute manière accepté l’opération. En effet, J.________, souffrant d’infections urinaires à répétition, n’aurait selon toute vraisemblance pas renoncé à cette opération. De plus, il est admis que le Dr K.________ ne pouvait pratiquer l’opération lui-même faute d’avoir atteint un seuil de pratique suffisant. On imagine mal le médecin cacher à sa patiente le fait qu’il ne peut opérer lui-même et seul. Un autre médecin, opérateur, était donc nécessaire dans tous les cas. Enfin, comme le rappelle le procureur, la recourante n’a pas relevé ce point dans sa plainte, mais l’a invoqué seulement par la suite (cf. ordonnance de classement p. 11 in fine). Sans être déterminant, cela renforce l’idée qu’elle aurait accepté l’opération pratiquée par le Dr G.________, la constatation du manque d’information ayant pour le surplus été constatée par le procureur, comme on l’a déjà mentionné. Mal fondé, le moyen doit être rejeté.</w:t>
      </w:r>
    </w:p>
    <w:p>
      <w:r>
        <w:rPr>
          <w:b/>
        </w:rPr>
        <w:t>E. 7</w:t>
      </w:r>
    </w:p>
    <w:p>
      <w:r>
        <w:t>Enfin, la recourante se plaint d’avoir été opérée par lombotomie et non par laparoscopie. Elle soutient que le Dr K.________ ne l’avait jamais informée qu’elle avait le choix entre ces deux techniques, la laparoscopie étant nettement moins invasive. Ce dernier aurait ainsi violé ses obligations en matière d’information médicale. a) En vertu de l’art. 391 al. 1 CPP, l’autorité de recours, lorsqu’elle rend sa décision, n’est pas liée par les motifs invoqués par les parties (let. a) ni par leurs conclusions, sauf lorsqu’elle statue sur une action civile (let. b). Le pouvoir de cognition accordé à l’autorité de recours est, pour ainsi dire, presque discrétionnaire. L’autorité apparaît libre d’accueillir un recours, même en dehors des griefs portés devant elle par le recourant ou de leur fondement, pour autant qu’un autre motif s’avère réalisé (Richard Calame, in: Kuhn/Jeanneret [éd.], Code de procédure pénale suisse, Commentaire romand, Bâle 2011, n. 2 ad art. 391 CPP ; CREP 12 avril 2011/114). La cour de céans, qui dispose d’un pouvoir d’examen étendu peut instruire ce grief bien qu’il n’ait jamais été auparavant soulevé par la recourante. b) En l’espèce, l’ordonnance entreprise retient que J.________ avait été informée des deux techniques possibles pour procéder à sa néphrectomie (cf. ordonnance de classement, ch.1 p. 1). Le procureur s’est appuyé sur la déposition du Dr K.________ d’où il ressort notamment que, lors de sa consultation du 24 novembre 2011, le médecin et la recourante ont évoqué la question de l’ablation du rein droit qui pouvait être à l’origine des infections de cette dernière. Le Dr K.________ lui a dès lors expliqué les différents modes d’opération possibles, à savoir la laparoscopie ou la lombotomie. Ils ont ensuite également évoqué l’endroit où l’opération pouvait avoir lieu étant donné que la recourante bénéficiait de l’assurance de base (PV aud. 4, p. 2). Il découle de ces déclarations que la recourante avait été clairement informée des différentes techniques praticables pour son opération. Par ailleurs, il est notoire que les techniques de laparoscopie impliquent également des inconvénients. Ces divers modes opératoires font inévitablement l’objet de discussions, puisqu’il s’agit d’un des principaux choix à faire par le patient. En l’absence d’éléments contredisant les propos du médecin quant à cette information suffisante, tenus d’ailleurs bien avant que le moyen soit soulevé par la recourante, il apparaît que la décision du procureur n’est pas non plus critiquable sur ce point.</w:t>
      </w:r>
    </w:p>
    <w:p>
      <w:r>
        <w:rPr>
          <w:b/>
        </w:rPr>
        <w:t>E. 8</w:t>
      </w:r>
    </w:p>
    <w:p>
      <w:r>
        <w:t>Il résulte de ce qui précède que le recours, manifestement mal fondé, doit être rejeté, sans autres échanges d’écritures (art. 390 al. 2 CPP), et l’ordonnance de classement confirmée.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1'760 fr. (art. 20 al. 1 TFIP [tarif des frais de procédure et indemnités en matière pénale du 28 septembre 2010; RSV 312.03.1]) et des frais imputables à l’assistance judiciaire gratuite (art. 422 al. 1 et 2 let. a CPP), fixés à 1’440 fr., plus la TVA, par 115 fr. 20, soit au total à 1’555 fr. 20 – ne peuvent être mis à la charge de la recourante qui succombe (art. 428 al. 1 CPP), mais doivent être provisoirement laissés à la charge de l’Etat (CREP 9 juillet 2013/652 c. 3 et les références citées). La recourante est toutefois tenue de rembourser ces frais à l’Etat dès que sa situation financière le permettra (art. 135 al. 4 CPP et 138 al. 1 CPP; CREP 9 juillet 2013/652 c. 3 et les références citées). Par ces motifs, la Chambre des recours pénale, statuant à huis clos, prononce : I. Le recours est rejeté. II. L’ordonnance du 5 mars 2014 est confirmée. III. L’indemnité allouée au conseil juridique gratuit de J.________ est fixée à 1'555 fr. 20 (mille cinq cent cinquante-cinq francs et vingt centimes). IV. Les frais d’arrêt, par 1'760 fr. (mille sept cent soixante francs) ainsi que l’indemnité due au conseil juridique gratuit de J.________, par 1'555 fr. 20 (mille cinq cent cinquante-cinq francs et vingt centimes), sont provisoirement laissés à la charge de l’Etat. V. J.________ est tenue de rembourser à l’Etat l’indemnité allouée au chiffre II ci-dessus ainsi que les frais fixés au chiffre IV ci-dessus dès que sa situation financière le permettra. VI. Le présent arrêt est exécutoire. Le président :               La greffière : Du L'arrêt qui précède, dont la rédaction a été approuvée à huis clos, est notifié, par l'envoi d'une copie complète, à : - Mme Coralie Devaud, avocate (pour J.________), - Docteur K.________, - Z.________, - Ministère public central ;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