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 vom 17. Januar 2014</w:t>
      </w:r>
    </w:p>
    <w:p>
      <w:r>
        <w:t>VD Tribunal cantonal, 2014-01-17, FR</w:t>
      </w:r>
    </w:p>
    <w:p>
      <w:r>
        <w:rPr>
          <w:b/>
        </w:rPr>
        <w:t xml:space="preserve">Quelle: </w:t>
      </w:r>
      <w:r>
        <w:t>https://mcp.opencaselaw.ch/entscheid/vd_findinfo_D_cision___2014___68</w:t>
      </w:r>
    </w:p>
    <w:p>
      <w:r>
        <w:t>FR: VD_FINDINFO Décision / 2014 / 68 du 17 janvier 2014</w:t>
      </w:r>
    </w:p>
    <w:p>
      <w:r>
        <w:t>IT: VD_FINDINFO Décision / 2014 / 68 del 17 gennaio 2014</w:t>
      </w:r>
    </w:p>
    <w:p>
      <w:pPr>
        <w:pStyle w:val="Heading2"/>
      </w:pPr>
      <w:r>
        <w:t>Regeste</w:t>
      </w:r>
    </w:p>
    <w:p>
      <w:r>
        <w:t>INDEMNITÉ ÉQUITABLE, INDEMNITÉ{EN GÉNÉRAL}, AVOCAT, ACQUITTEMENT | 393 al. 1 let. a CPP (CH), 429 al. 1 let. a CPP (CH), 429 al. 1 let. b CPP (CH), 429 CPP (CH)</w:t>
      </w:r>
    </w:p>
    <w:p>
      <w:pPr>
        <w:pStyle w:val="Heading2"/>
      </w:pPr>
      <w:r>
        <w:t>Erwägungen</w:t>
      </w:r>
    </w:p>
    <w:p>
      <w:r>
        <w:rPr>
          <w:b/>
        </w:rPr>
        <w:t>E. 1</w:t>
      </w:r>
    </w:p>
    <w:p>
      <w:r>
        <w:t>Interjeté dans le délai légal (art. 322 al. 2 CPP [Code de procédure pénale suisse du 5 octobre 2007; RS 312.0]), contre une ordonnance du Ministère public (art. 393 al. 1 let. a CPP), par le prévenu qui a qualité pour recourir (art. 382 al. 1 CPP) et dans les formes prescrites (art. 385 al. 1 CPP), le recours est recevable.</w:t>
      </w:r>
    </w:p>
    <w:p>
      <w:r>
        <w:rPr>
          <w:b/>
        </w:rPr>
        <w:t>E. 2</w:t>
      </w:r>
    </w:p>
    <w:p>
      <w:r>
        <w:t>a) L’art. 395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[loi d’introduction du Code de procédure pénale suisse; RSV 312.01]). Le montant litigieux, qui détermine s’il appartient à la Chambre des recours pénale en corps ou à un juge de statuer sur le recours, correspond à la différence entre le montant réclamé et la somme allouée par la décision attaquée (cf. Stephenson/Thiriet, in : Niggli/Heer/Wiprächtiger [éd.], Basler Kommentar, Schweizerische Strafprozessordnung, Jugendstrafprozessordnung, Bâle 2011, n. 6 ad art. 395 CPP). b) En l'occurrence, le recours ne porte pas sur le classement de la procédure, mais uniquement sur le refus de la procureure d'octroyer au recourant une indemnité au sens de l'art. 429 CPP. A cet égard, N.________ requiert un montant de 5'750 francs. Par conséquent, au vu de la valeur litigieuse, le recours relève de la compétence de la Chambre des recours pénale en corps (art. 395 let. b CPP, a contrario).</w:t>
      </w:r>
    </w:p>
    <w:p>
      <w:r>
        <w:rPr>
          <w:b/>
        </w:rPr>
        <w:t>E. 3</w:t>
      </w:r>
    </w:p>
    <w:p>
      <w:r>
        <w:t>En définitive, le recours doit être partiellement admis et l’ordonnance entreprise réformée en ce sens qu'un montant de 1’954 fr. 80, débours et TVA compris, est alloué à N.________ à titre d'indemnité au sens de l'art. 429 al. 1 let. a CPP, à la charge de l'Etat. Les frais de la procédure de recours, constitués de l’émolument d’arrêt (art. 422 al. 1 CPP), par 880 fr. (art. 20 al. 1 TFJP [tarif des frais judiciaires pénaux; RSV 312.03.1]), seront laissés à la charge de l’Etat (art. 423 al. 1 CPP). Enfin, le recourant, qui a partiellement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Le montant de cette indemnité sera fixé à 1’312 fr., soit 1’215 fr. correspondant 4,5 heures d’activité au tarif horaire de 270 fr., soit le tarif appliqué par le recourant pour ses opérations de première instance, plus la TVA par 97 fr. 20, à la charge de l’Etat. Par ces motifs, la Chambre des recours pénale, statuant à huis clos, prononce : I. Le recours est partiellement admis. II. L'ordonnance du 14 octobre 2014 est réformée à son chiffre II en ce sens qu'un montant de 1'954 fr. 80 (mille neuf cent cinquante-quatre francs et huitante centimes) à titre d’indemnité selon l’art. 429 al. 1 let. a CPP est alloué à N.________, à la charge de l’Etat. III. Un montant de 1’312 fr. 20 (mille trois cent douze francs et vingt centimes) à titre d’indemnité selon l’art. 429 al. 1 let. a CPP est alloué à N.________ pour la procédure de recours, à la charge de l'Etat.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Me Sandra Genier Müller, avocate (pour N.________), - Me Flore Primault, avocate (pour B.W.________ et O.W.________),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