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675 vom 13. August 2014</w:t>
      </w:r>
    </w:p>
    <w:p>
      <w:r>
        <w:t>VD Tribunal cantonal, 2014-08-13, FR</w:t>
      </w:r>
    </w:p>
    <w:p>
      <w:r>
        <w:rPr>
          <w:b/>
        </w:rPr>
        <w:t xml:space="preserve">Quelle: </w:t>
      </w:r>
      <w:r>
        <w:t>https://mcp.opencaselaw.ch/entscheid/vd_findinfo_D_cision___2014___675</w:t>
      </w:r>
    </w:p>
    <w:p>
      <w:r>
        <w:t>FR: VD_FINDINFO Décision / 2014 / 675 du 13 août 2014</w:t>
      </w:r>
    </w:p>
    <w:p>
      <w:r>
        <w:t>IT: VD_FINDINFO Décision / 2014 / 675 del 13 agosto 2014</w:t>
      </w:r>
    </w:p>
    <w:p>
      <w:pPr>
        <w:pStyle w:val="Heading2"/>
      </w:pPr>
      <w:r>
        <w:t>Regeste</w:t>
      </w:r>
    </w:p>
    <w:p>
      <w:r>
        <w:t>RISQUE DE RÉCIDIVE, SOUPÇON, PROPORTIONNALITÉ, DÉTENTION PROVISOIRE, MESURE PROVISIONNELLE | 221 al. 1 let. c CPP (CH), 237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le recours, qui a été interjeté en temps utile devant l’autorité compétente et satisfait aux conditions de forme posées par l’art. 385 al. 1 CPP,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b) En l’espèce, W.________ a, en cours d’enquête, reconnu les faits qui lui étaient reprochés, en précisant toutefois, s’agissant des faits survenus le 1 er mars 2013, que c’est son frère qui aurait frappé D.________ (PV aud. du 18 décembre 2013, lignes 34 ss; PV aud. du 5 février 2014, lignes 27 ss). Dans son recours, le prénommé ne revient pas sur les infractions qui lui sont reprochées en relation avec ces faits, si ce n’est pour affirmer qu’elles ne seraient pas suffisamment graves pour justifier une prolongation de la détention provisoire et pour que l’on puisse retenir un risque de récidive (recours, pp. 5 et 7). En particulier, W.________ persiste à nier avoir frappé D.________, ce qui serait confirmé par les déclarations de cette dernière telles qu’elle résulteraient de sa plainte du 6 mars 2013. Peu importe toutefois, puisque pour ces faits, le prévenu est soupçonné d’avoir participé à une agression en compagnie de son frère au cours de laquelle une autre personne, soit X.________, aurait été blessée; or, la participation de l’auteur à une agression au sens de l’art. 134 CP suffit pour qu’il soit punissable, sans égard à sa responsabilité s’agissant de la lésion survenue (Favre/Pellet/Stoudmann, Code pénal annoté, 3 e éd., Lausanne 2007, n. 1.2 ad art. 134 CP). D’ailleurs, le prévenu a admis lui-même avoir frappé X.________ (recours, p. 7). S’agissant ensuite des faits survenus le 4 février 2014 sur lesquels W.________ revient dans son recours (p. 7), le témoignage d’[...], qui fait état de plusieurs coups de poing infligés à K.________ sans que ce dernier n’ait eu le temps de se défendre (PV aud. du 27 mars 2014), renforce encore la gravité des faits qui sont reprochés au recourant. Le fait que le témoin [...] ait affirmé qu’il n’était pas "absolument certain" que les deux frères W.________ aient frappé K.________ n’est donc pas déterminant, puisque le prévenu a clairement admis avoir donné le premier coup de poing au visage de la victime (PV aud. du 5 février 2014, ligne 29; recours, p. 7). On ne peut pas exclure, à ce stade de la procédure, qu’une agression au sens de l’art. 134 CP ait été commise au préjudice de K.________, comme le prétend le recourant; en effet, il peut y avoir concours entre une infraction de lésion et l’agression, lorsque la victime n’a subi que des lésions corporelles simples, à condition que la mise en danger de cette dernière ait dépassé en intensité le résultat survenu (Dupuis et alii, Code pénal, Petit commentaire, Bâle 2012, n. 7 ad art. 134 CP et la référence citée), ce qu’il appartiendra à l’autorité de jugement d’établir. Ainsi, au vu des éléments précités et des aveux de W.________, il existe de forts soupçons de culpabilité à l’encontre du recourant, qui sont suffisants pour justifier son maintien en détention provisoire.</w:t>
      </w:r>
    </w:p>
    <w:p>
      <w:r>
        <w:rPr>
          <w:b/>
        </w:rPr>
        <w:t>E. 3</w:t>
      </w:r>
    </w:p>
    <w:p>
      <w:r>
        <w:t>Le recourant conteste l’existence du risque de réitération (art. 221 al. 1 let. c CPP).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En l’espèce, W.________ a déjà été condamné plusieurs fois de 2005 à 2012, notamment pour vol, dommages à la propriété, extorsion, violation de domicile, ainsi que pour des infractions aux règles de la circulation routière et, à deux reprises, pour lésions corporelles simples, la dernière fois en 2012. Dans le cadre de la présente affaire, il est mis en cause pour lésions corporelles simples et agression, infractions qu’il aurait commises à plusieurs reprises de mars 2013 à février 2014, en s’en prenant, pour des motifs futiles, à des personnes qui ne l’avaient provoqué d’aucune façon – du moins pas dans une mesure qui aurait justifié le recours à la violence –, et occasionnant à plusieurs d’entre elles des blessures sérieuses. On remarquera par ailleurs que déjà dans le cadre de la précédente affaire ayant conduit à sa condamnation en 2012 pour lésions corporelles simples, le recourant avait tenté de justifier ses actes en prétendant à tort qu’il avait été provoqué. Ce comportement violent est lié au mode de fonctionnement du prévenu, décrit dans le rapport d’expertise comme une personne qui réagit de manière impulsive, sans penser aux conséquences de ses actes et selon son intérêt. Enfin et surtout, le recourant a récidivé dans le délai d’épreuve d’un précédent sursis en commettant des faits semblables et en cours d’enquête, moins d’un mois après une première période de détention provisoire de 22 jours et alors qu’il avait été expressément averti des conséquences d’une éventuelle récidive (PV aud. d’[...] du 5 février 2014, ligne 79), ce qui ne l’a pas dissuadé pour autant. Dans ces circonstances, force est de constater que le pronostic est clairement défavorable et que les infractions dont la réitération est redoutée sont de nature à compromettre sérieusement la sécurité d’autrui, au sens de l’art. 221 al. 1 let. c CPP.</w:t>
      </w:r>
    </w:p>
    <w:p>
      <w:r>
        <w:rPr>
          <w:b/>
        </w:rPr>
        <w:t>E. 4</w:t>
      </w:r>
    </w:p>
    <w:p>
      <w:r>
        <w:t>Le recourant soutient que le risque de réitération ne justifie pas son maintien en détention, dès lors qu’il s’est engagé à suivre un traitement psychothérapeutique ambulatoire et que les mois passés en détention lui ont permis de mieux se connaître et de contrôler son impulsivité. En outre, il a produit un contrat de travail daté du 23 mai 2014, par lequel la société [...] Sàrl promet de l’engager en qualité d’ouvrier dès sa sortie de prison (P. 81/4). Ces deux mesures de substitution permettraient, selon lui, de diminuer considérablement, voire de faire disparaître, le risque de rédicive. a) La détention provisoire et la détention pour des motifs de sûreté doivent être levées dès que des mesures de substitution (art. 237 CPP) permettent d’atteindre le même but (art. 212 al. 2 let. c CPP). Les mesures de substitution énumérées de manière non exhaustive à l’art. 237 CPP sont un succédané à la détention provisoire; elles poursuivent le même objectif – éviter la fuite, la récidive ou la collusion – tout en étant moins sévères; le tribunal doit les prononcer à la place de la détention provisoire ou pour des motifs de sûreté si elles permettent d’empêcher la concrétisation du risque (Schmocker, op. cit., n. 2 ad art. 237 CPP). b) En l’espèce, comme le Tribunal des mesures de contrainte l’a relevé dans sa précédente ordonnance du 17 avril 2014, l’amorce d’introspection de W.________ et sa volonté d’entreprendre une psychothérapie ne constituent pas des mesures aptes à prévenir un risque de récidive. Cette appréciation est encore renforcée par le rapport d’expertise psychiatrique du 16 juillet 2014, qui a retenu un risque de récidive élevé. Si les experts n’ont pas considéré que le prévenu souffrait d’une pathologie psychiatrique grave pouvant l’amener à perdre son ancrage dans la réalité (p. 12), comme celui-ci le relève dans son recours (p. 3 in fine ), on peut toutefois douter qu’un traitement ambulatoire volontaire soit de nature à produire avec effet immédiat des bénéfices tels qu’ils écarteraient tout risque de récidive, ce que les experts n’ont du reste pas affirmé, se limitant à indiquer que "l’évolution du risque de récidive (…) sera en lien avec la volonté de l’expertisé de moduler sa manière de fonctionner" (p. 13). Quant au contrat de travail qu’il a produit en annexe à son recours, confirmant son engagement à 100%, après sa sortie de prison, auprès de la société [...] Sàrl, il est insuffisant pour parer le risque de récidive. La mesure proposée est d’autant moins pertinente que, si l’on en croit l’explication qu’il a fournie lors de son audition par le Procureur le 18 décembre 2013 et au cours de ses entretiens avec les experts (rapport d’expertise, p. 6), le recourant, au moment des faits survenus en 2013, avait un travail régulier auprès d’une entreprise de forage à [...], ce qui ne l’a toutefois pas empêché de commettre de nouveaux délits. Ainsi, aucune mesure de substitution ne présente en l’état de garanties suffisantes pour pallier le risque de réitération, ce qui justifie le maintien en détention provisoire du recourant.</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qui a subi une première période de détention préventive du 18 décembre 2013 au 10 janvier 2014, est à nouveau détenu depuis le 4 février 2014, ensuite des faits survenus à cette même date. Compte tenu de ses antécédents et des charges qui pèsent sur lui, il s'expose à une peine privative de liberté d’une durée supérieure à celle de la détention provisoire subie à ce jour, notamment au vu de la possible révocation de son précédent sursis. Contrairement à ce qu’il prétend, on ne saurait exclure à ce stade, pour les motifs exposés ci-dessus (c. 2), un concours entre l’infraction de lésions corporelles simples, passible à elle seule d’une peine privative de liberté de trois ans au plus ou d’une peine pécuniaire, et le crime d’agression au sens de l’art. 134 CP. Par conséquent, le principe de la proportionnalité est respecté.</w:t>
      </w:r>
    </w:p>
    <w:p>
      <w:r>
        <w:rPr>
          <w:b/>
        </w:rPr>
        <w:t>E. 6</w:t>
      </w:r>
    </w:p>
    <w:p>
      <w:r>
        <w:t>En définitive, le recours, manifestement mal fondé, doit être rejeté sans autre échange d’écritures (art. 390 al. 2 CPP) et l'ordonnance attaquée confirmée. Vu l’issue de la cause,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W.________ ne sera toutefois exigible que pour autant que la situation économique de ce dernier se soit améliorée (art. 135 al. 4 CPP). Par ces motifs, la Chambre des recours pénale, statuant à huis clos, prononce : I. Le recours est rejeté. II. L'ordonnance du 28 juillet 2014 est confirmée. III. L'indemnité allouée au défenseur d'office de W.________ est fixée à 583 fr. 20 (cinq cent huitante-trois francs et vingt centimes). IV. Les frais d’arrêt, par 1’100 fr. (mille cent francs), ainsi que l’indemnité due au défenseur d’office de W.________ selon le chiffre III ci-dessus, sont mis à la charge de ce dernier. V. Le remboursement à l'Etat de l'indemnité allouée au chiffre III ci-dessus ne sera exigible que pour autant que la situation économique de W.________ se soit améliorée. VI . Le présent arrêt est exécutoire. Le vice-président : Le greffier : Du L'arrêt qui précède, dont la rédaction a été approuvée à huis clos, est notifié, par l'envoi d'une copie complète, à : - M. Gilles Miauton, avocat (pour W.________), - Ministère public central, et communiqué à : - M. le Président du Tribunal des mesures de contrainte, - M. le Procureur de l’arrondissement du Nord vaudois, ‑ M. X.________, - M. Dominique Alvarez, avocat (pour Q.________), - M. Charles Munoz, avocat (pour K.________ et [...]), - M. Sébastien Pedroli, avocat (pour D.________),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