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669 vom 25. Juli 2014</w:t>
      </w:r>
    </w:p>
    <w:p>
      <w:r>
        <w:t>VD Tribunal cantonal, 2014-07-25, FR</w:t>
      </w:r>
    </w:p>
    <w:p>
      <w:r>
        <w:rPr>
          <w:b/>
        </w:rPr>
        <w:t xml:space="preserve">Quelle: </w:t>
      </w:r>
      <w:r>
        <w:t>https://mcp.opencaselaw.ch/entscheid/vd_findinfo_D_cision___2014___669</w:t>
      </w:r>
    </w:p>
    <w:p>
      <w:r>
        <w:t>FR: VD_FINDINFO Décision / 2014 / 669 du 25 juillet 2014</w:t>
      </w:r>
    </w:p>
    <w:p>
      <w:r>
        <w:t>IT: VD_FINDINFO Décision / 2014 / 669 del 25 luglio 2014</w:t>
      </w:r>
    </w:p>
    <w:p>
      <w:pPr>
        <w:pStyle w:val="Heading2"/>
      </w:pPr>
      <w:r>
        <w:t>Regeste</w:t>
      </w:r>
    </w:p>
    <w:p>
      <w:r>
        <w:t>CLASSEMENT DE LA PROCÉDURE, FAUX MATÉRIEL DANS LES TITRES, ESCROQUERIE, PERSONNE PROCHE | 146 al. 3 CP, 146 CP, 251 CP, 319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Le Ministère public a en substance retenu qu'il n'existait aucun indice de commission d'une infraction. Il a considéré que les griefs soulevés par la recourante s'inscrivaient en effet dans le contexte d'une procédure civile conflictuelle et que le fait que certaines allégations soient contestées dans ce cadre n'impliquait pas encore qu'une infraction ait été commise. Par ailleurs, la désignation d'un expert chargé de faciliter la liquidation du régime matrimonial devait permettre de faire la lumière sur les aspects litigieux. La recourante reproche au Ministère public d'avoir procédé à une instruction trop sommaire, qui ne permettrait pas d'exclure la commission d'une infraction pénale.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plusieurs indices étayent, en l'état du dossier, l'hypothèse selon laquelle la convention litigieuse pourrait être un faux, ce qui fonderait des soupçons sérieux de tentative d'escroquerie et de faux dans les titres. En premier lieu, la convention litigieuse, qui aurait été établie en date du 5 décembre 2000, n'a semble-t-il été portée à la connaissance de la plaignante qu'en 2013, en vue de la liquidation du régime matrimonial. Ensuite, une note d'une employée de la société F.________ relative à la déclaration d'impôts 2007 de V.Q.________ qualifie l'opération de transfert d'actions de "prêt-vente", soit vraisemblablement une vente couplée avec un prêt correspondant à tout ou partie du montant de la transaction (P. 4/5), ce que semble confirmer un extrait de la décision de taxation pour l'année 2003 (P. 10/2). Enfin, cette opération n'a fait l'objet d'aucun impôt sur les donations (P. 7/1 et 7/2). Compte tenu de ces indices, c'est à juste titre que la recourante soutient que le Ministère public ne pouvait se contenter de l'audition sommaire de V.Q.________ et de son conseil E.________ pour écarter tout soupçon de commission d'infraction. Selon le procès-verbal d'audition (PV aud. 1), V.Q.________ s'est ainsi borné à confirmer que les actions en cause lui avaient été remises par donation, en se référant à la convention du 5 décembre 2000, et n'a manifestement pas été confronté aux indices qui ont été évoqués ci-dessus, qui infirment pourtant sa version des faits. La recourante soutient qu'au cours de son audition, V.Q.________ aurait en outre déclaré que c'était sa fiduciaire qui avait rédigé la convention de donation litigieuse, déclaration qui n'a pas été protocolée. Si V.Q.________ a bien tenu ces propos, il se justifie effectivement, comme le demande la recourante, d'entendre un responsable de la fiduciaire à ce sujet. Du reste, à supposer que le Ministère public arrive à la conclusion que la convention du 5 décembre 2000 est authentique, se poseront alors les questions de la commission d'une infraction fiscale et de l'intervention de l'Administration cantonale des impôts dans la procédure (cf. art. 249 ss LI [loi cantonale du 4 juillet 2000 sur les impôts directs cantonaux; RSV 642.11]).</w:t>
      </w:r>
    </w:p>
    <w:p>
      <w:r>
        <w:rPr>
          <w:b/>
        </w:rPr>
        <w:t>E. 2.3</w:t>
      </w:r>
    </w:p>
    <w:p>
      <w:r>
        <w:t>V.Q.________ fait valoir deux moyens à l'appui de sa conclusion en rejet du recours.</w:t>
      </w:r>
    </w:p>
    <w:p>
      <w:r>
        <w:rPr>
          <w:b/>
        </w:rPr>
        <w:t>E. 2.3.1</w:t>
      </w:r>
    </w:p>
    <w:p>
      <w:r>
        <w:t>Il soutient tout d'abord, en s'appuyant sur un courrier du notaire à qui le mandat d'expertise mentionné plus haut a été confié dans la procédure en divorce (P. 18/2/101), que la cause n'aurait de toute manière pas un caractère pénal parce que sur le plan juridique, le mode d'acquisition des actions litigieuses n'aurait en définitive pas d'influence sur le résultat final de la liquidation du régime matrimonial. Comme le relève la recourante, dans l'hypothèse où V.Q.________ aurait délibérément fabriqué puis produit en justice une convention fausse dans le but de favoriser ses intérêts, le fait qu'un tel comportement n'ait finalement pas de conséquence négative pour la partie adverse n'empêcherait cependant nullement une condamnation pour tentative d'escroquerie et faux dans les titres.</w:t>
      </w:r>
    </w:p>
    <w:p>
      <w:r>
        <w:rPr>
          <w:b/>
        </w:rPr>
        <w:t>E. 2.3.2</w:t>
      </w:r>
    </w:p>
    <w:p>
      <w:r>
        <w:t>V.Q.________ soutient également que la plainte déposée serait tardive. Selon l'art. 31 CP (Code pénal suisse du 21 décembre 1937; RS 311.0), le droit de porter plainte se prescrit par trois mois à compter du jour où l'ayant droit a connu l'auteur de l'infraction. La Cour de céans constate qu'en premier lieu, ce moyen n'est pertinent que pour l'infraction d'escroquerie au préjudice d'un proche (cf. art. 146 al. 3 CP), le faux dans les titres (art. 251 CP) se poursuivant dans tous les cas d'office. La plaignante affirme qu'elle a appris les éléments l'ayant conduite à déposer plainte dans le cadre de la rédaction de la réponse en procédure de divorce, qui aurait été déposée le 26 août 2013, ainsi qu'en prenant connaissance des déterminations de V.Q.________ sur celle-ci, du 6 novembre 2013 (P. 4/0, p. 1). Si tel est bien le cas, la plainte, déposée le 25 novembre 2013, n'est pas tardive. Le Ministère public, qui n'a pas instruit ce point, devra également procéder aux vérifications nécessaires.</w:t>
      </w:r>
    </w:p>
    <w:p>
      <w:r>
        <w:rPr>
          <w:b/>
        </w:rPr>
        <w:t>E. 2.4</w:t>
      </w:r>
    </w:p>
    <w:p>
      <w:r>
        <w:t>En définitive, la Cour de céans considère que l'instruction était incomplète lorsque l'ordonnance attaquée a été rendue et il appartiendra au Ministère public de procéder aux mesures d'instruction nécessaires pour y remédier. En bref, il s'agira à tout le moins d'obtenir les déterminations de V.Q.________ sur les éléments qui infirment sa version des faits et d'entendre le responsable de fiduciaire qui aurait rédigé la convention de donation litigieuse, un certain [...]. Si nécessaire, il y aura également lieu d'instruire la question de la tardiveté de la plainte pénale.</w:t>
      </w:r>
    </w:p>
    <w:p>
      <w:r>
        <w:rPr>
          <w:b/>
        </w:rPr>
        <w:t>E. 3</w:t>
      </w:r>
    </w:p>
    <w:p>
      <w:r>
        <w:t>Au vu de ce qui précède, le recours doit être admis. L’ordonnance attaquée sera annulée en tant qu'elle concerne le classement en faveur de V.Q.________, ce qui entraînera également l'annulation de ses chiffres II, III, V, VI et VIII, et le dossier de la cause sera renvoyé au Ministère public pour qu’il procède dans le sens des considérants. L'ordonnance attaquée sera en revanche confirmée en tant qu'elle concerne le classement en faveur d'E.________, de même que ses chiffres IV à VII, qui se rapportent à ce volet de la procédure. Les frais de la procédure de recours, constitués en l'espèce uniquement de l'émolument d'arrêt, par 770 fr. (art. 20 al. 1 TFIP  [Tarif des frais de procédure et indemnités en matière pénale du 28 septembre 2010; RSV 312.03.1]), seront mis à la charge de l'intimé V.Q.________, qui succombe (art. 428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Le chiffre I de l'ordonnance du 16 avril 2014 est annulé en tant qu'il concerne le classement en faveur de V.Q.________ et le dossier de la cause est renvoyé au Ministère public de l’arrondissement de Lausanne pour qu’il procède dans le sens des considérants. III. Le chiffre I de l'ordonnance du 16 avril 2014 est confirmé en tant qu'il concerne le classement en faveur d'E.________. IV. Les chiffres II, III, V, VI et VIII de l'ordonnance du 16 avril 2014 sont annulés. V. Les chiffres IV et VII de l'ordonnance du 16 avril 2014 sont maintenus. VI. Les frais de la procédure de recours, par 770 fr. (sept cent septante francs), sont mis à la charge de V.Q.________. VII. Le présent arrêt est exécutoire. Le président :               Le greffier : Du L'arrêt qui précède, dont la rédaction a été approuvée à huis clos, est notifié, par l'envoi d'une copie complète, à : - M. Matthieu Genillod, avocat (pourR.Q.________), - Mme E.________, avocate (pour V.Q.________),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