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661 vom 6. August 2014</w:t>
      </w:r>
    </w:p>
    <w:p>
      <w:r>
        <w:t>VD Tribunal cantonal, 2014-08-06, FR</w:t>
      </w:r>
    </w:p>
    <w:p>
      <w:r>
        <w:rPr>
          <w:b/>
        </w:rPr>
        <w:t xml:space="preserve">Quelle: </w:t>
      </w:r>
      <w:r>
        <w:t>https://mcp.opencaselaw.ch/entscheid/vd_findinfo_D_cision___2014___661</w:t>
      </w:r>
    </w:p>
    <w:p>
      <w:r>
        <w:t>FR: VD_FINDINFO Décision / 2014 / 661 du 6 août 2014</w:t>
      </w:r>
    </w:p>
    <w:p>
      <w:r>
        <w:t>IT: VD_FINDINFO Décision / 2014 / 661 del 6 agosto 2014</w:t>
      </w:r>
    </w:p>
    <w:p>
      <w:pPr>
        <w:pStyle w:val="Heading2"/>
      </w:pPr>
      <w:r>
        <w:t>Regeste</w:t>
      </w:r>
    </w:p>
    <w:p>
      <w:r>
        <w:t>DÉFENSE D'OFFICE, REJET DE LA DEMANDE | 132 CPP (CH), 133 CPP (CH)</w:t>
      </w:r>
    </w:p>
    <w:p>
      <w:pPr>
        <w:pStyle w:val="Heading2"/>
      </w:pPr>
      <w:r>
        <w:t>Erwägungen</w:t>
      </w:r>
    </w:p>
    <w:p>
      <w:r>
        <w:rPr>
          <w:b/>
        </w:rPr>
        <w:t>E. 1</w:t>
      </w:r>
    </w:p>
    <w:p>
      <w:r>
        <w:t>Aux termes de l’art. 388 CPP, la direction de la procédure de l’autorité de recours rend des ordonnances et prend les mesures provisionnelles qui s’imposent et qui ne souffrent aucun délai. Elle peut notamment nommer un défenseur d’office (let. c).</w:t>
      </w:r>
    </w:p>
    <w:p>
      <w:r>
        <w:rPr>
          <w:b/>
        </w:rPr>
        <w:t>E. 2</w:t>
      </w:r>
    </w:p>
    <w:p>
      <w:r>
        <w:t>août 2013 (PV aud. 3) et des relevés de comptes produits par son défenseur le 8 mai 2014 (P. 21 et 22). Toutefois, la cause ne présente pas, en fait et en droit, des difficultés que la requérante ne serait pas en mesure de surmonter seule. La requérante a admis avoir emprunté de l’argent aux plaignantes, tout en contestant l’intention de ne pas s’acquitter envers elles. En outre, les faits qui lui sont reprochés ne l’exposent pas au prononcé d’une sanction qui irait au-delà du cas de peu de gravité illustré à l’art. 132 al. 3 CPP. Les conditions d’une défense d’office selon l’art. 132 al. 1 let. b CPP ne sont donc pas réunies.</w:t>
      </w:r>
    </w:p>
    <w:p>
      <w:r>
        <w:rPr>
          <w:b/>
        </w:rPr>
        <w:t>E. 3</w:t>
      </w:r>
    </w:p>
    <w:p>
      <w:r>
        <w:t>Il résulte de ce qui précède que la demande de K.________ tendant à la désignation d’un défenseur d’office pour la procédure de recours doit être rejetée. Les frais de la présente ordonnance, fixés à 360 fr. (art. 20 al. 1 TFIP [tarif des frais de procédure et indemnités en matière pénale; RSV 312.03.1]), suivront le sort des frais de la procédure de recours (art. 421 al. 1 et 428 al. 1 CPP). Par ces motifs, le vice-Président de la Chambre des recours pénale, statuant à huis clos, prononce : I. La requête de K.________ tendant à la désignation d’un défenseur d’office pour la procédure de recours est rejetée. II. Les frais de la présente ordonnance, par 360 fr. (trois cent soixante francs), suivent le sort des frais de la procédure de recours. III. La présente ordonnance est exécutoire. Le vice-président : Le greffier : Du L’ordonnance qui précède, dont la rédaction a été approuvée à huis clos, est notifiée, par l'envoi d'une copie complète, à : - Mme Charlotte Iselin, avocate (pour K.________), - Ministère public central, par l’envoi de photocopies. La présente ordonnance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