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659 vom 18. August 2014</w:t>
      </w:r>
    </w:p>
    <w:p>
      <w:r>
        <w:t>VD Tribunal cantonal, 2014-08-18, FR</w:t>
      </w:r>
    </w:p>
    <w:p>
      <w:r>
        <w:rPr>
          <w:b/>
        </w:rPr>
        <w:t xml:space="preserve">Quelle: </w:t>
      </w:r>
      <w:r>
        <w:t>https://mcp.opencaselaw.ch/entscheid/vd_findinfo_D_cision___2014___659</w:t>
      </w:r>
    </w:p>
    <w:p>
      <w:r>
        <w:t>FR: VD_FINDINFO Décision / 2014 / 659 du 18 août 2014</w:t>
      </w:r>
    </w:p>
    <w:p>
      <w:r>
        <w:t>IT: VD_FINDINFO Décision / 2014 / 659 del 18 agosto 2014</w:t>
      </w:r>
    </w:p>
    <w:p>
      <w:pPr>
        <w:pStyle w:val="Heading2"/>
      </w:pPr>
      <w:r>
        <w:t>Regeste</w:t>
      </w:r>
    </w:p>
    <w:p>
      <w:r>
        <w:t>AVANCE DE FRAIS, SÛRETÉS, DÉCISION D'IRRECEVABILITÉ | 383 al. 1 CPP (CH),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 cf. art. 143 al. 3 CPC [Code de procédure civile du 19 décembre 2008 ; RS 272.0]).</w:t>
      </w:r>
    </w:p>
    <w:p>
      <w:r>
        <w:rPr>
          <w:b/>
        </w:rPr>
        <w:t>E. 2</w:t>
      </w:r>
    </w:p>
    <w:p>
      <w:r>
        <w:t>G.________ a déposé un recours contre l’ordonnance de non-entrée en matière rendue le 16 mai 2014 par le Ministère public de l’arrondissement du Nord vaudois. Par avis du 10 juin 2014, la direction de la procédure lui a imparti un délai au 30 juin 2014 pour effectuer un dépôt de 440 fr. à titre de sûretés, avec l'indication qu'à défaut de paiement des sûretés en temps utile, il ne serait pas entré en matière sur son recours. Le recourant n'a pas procédé à l'avance de frais requise dans le délai imparti. Il n’a pas non plus demandé de prolongation ou de restitution du délai. Le recours est dès lors irrecevable.</w:t>
      </w:r>
    </w:p>
    <w:p>
      <w:r>
        <w:rPr>
          <w:b/>
        </w:rPr>
        <w:t>E. 3</w:t>
      </w:r>
    </w:p>
    <w:p>
      <w:r>
        <w:t>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président :               Le greffier : Du L'arrêt qui précède, dont la rédaction a été approuvée à huis clos, est notifié, par l'envoi d'une copie complète, à : -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