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658 vom 27. Februar 2014</w:t>
      </w:r>
    </w:p>
    <w:p>
      <w:r>
        <w:t>VD Tribunal cantonal, 2014-02-27, FR</w:t>
      </w:r>
    </w:p>
    <w:p>
      <w:r>
        <w:rPr>
          <w:b/>
        </w:rPr>
        <w:t xml:space="preserve">Quelle: </w:t>
      </w:r>
      <w:r>
        <w:t>https://mcp.opencaselaw.ch/entscheid/vd_findinfo_D_cision___2014___658</w:t>
      </w:r>
    </w:p>
    <w:p>
      <w:r>
        <w:t>FR: VD_FINDINFO Décision / 2014 / 658 du 27 février 2014</w:t>
      </w:r>
    </w:p>
    <w:p>
      <w:r>
        <w:t>IT: VD_FINDINFO Décision / 2014 / 658 del 27 febbraio 2014</w:t>
      </w:r>
    </w:p>
    <w:p>
      <w:pPr>
        <w:pStyle w:val="Heading2"/>
      </w:pPr>
      <w:r>
        <w:t>Regeste</w:t>
      </w:r>
    </w:p>
    <w:p>
      <w:r>
        <w:t>RISQUE DE FUITE, AUTORISATION D'ÉTABLISSEMENT, MESURE DE SUBSTITUTION À LA DÉTENTION, PAPIER DE LÉGITIMATION | 221 al. 1 let. a CPP (CH), 227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conteste les motifs de détention retenus par le Tribunal des mesures de contrainte, soit les risques de fuite, de collusion et de réitération. Subsidiairement, il soutient qu’il existerait des mesures de substitution propres à prévenir ces risques.</w:t>
      </w:r>
    </w:p>
    <w:p>
      <w:r>
        <w:rPr>
          <w:b/>
        </w:rPr>
        <w:t>E. 2.1</w:t>
      </w:r>
    </w:p>
    <w:p>
      <w:r>
        <w:t>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228 CPP, le prévenu peut en principe présenter en tout temps, par écrit ou oralement par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 e phrase).</w:t>
      </w:r>
    </w:p>
    <w:p>
      <w:r>
        <w:rPr>
          <w:b/>
        </w:rPr>
        <w:t>E. 2.2</w:t>
      </w:r>
    </w:p>
    <w:p>
      <w:r>
        <w:t>Dans la présente procédure de recours, X.________ ne conteste pas l’existence de soupçons suffisants pour justifier la détention provisoire. La cour de céans a déjà examiné cette question dans le cadre d’un arrêt rendu le 12 juin dernier (CREP 12 juin 2014/402). Selon un procédé admissible (cf. TF 1B_149/2010 du 1 er juin 2010; ATF 114 Ia 281), elle peut dès lors se borner à renvoyer aux considérants de celui-ci (CREP 12 juin 2014/402 c. 2.2), qui sont toujours d’actualité. Par surabondance, on relèvera que le rapport final de la police de sûreté du 2 juillet 2014 confirme les indices de culpabilité retenus à l’encontre de X.________.</w:t>
      </w:r>
    </w:p>
    <w:p>
      <w:r>
        <w:rPr>
          <w:b/>
        </w:rPr>
        <w:t>E. 2.3</w:t>
      </w:r>
    </w:p>
    <w:p>
      <w:r>
        <w:t>S’agissant du risque de fuite d’abord, le Tribunal fédéral a retenu qu’il devait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En l’espèce, le recourant, d’origine capverdienne, est ressortissant du Portugal, pays où il est né et a grandi jusqu’à l’âge de 20 ou 21 ans. Son épouse est également originaire du Cap-Vert et dispose elle aussi d’un passeport portugais. Quand bien même le recourant apparaît installé en Suisse, il dispose encore manifestement de certaines attaches dans son pays d'origine et à l’étranger. En effet, interrogé le 25 février 2014 sur sa situation personnelle, il a indiqué avoir contracté une dette pour des travaux de rénovation dans « sa » maison au Portugal, avant de préciser qu’il s’agissait en fait de la maison de son père qui vivrait actuellement en France. Le recourant a également exposé avoir plusieurs demi-frères et demi-sœurs en France ainsi qu’au Cap-Vert. Dès lors, en dépit des attaches du recourant avec la Suisse, on ne saurait exclure la probabilité que celui-ci ne tente de fuir pour rejoindre la maison familiale au Portugal ou pour se rendre en France ou au Cap-Vert, pays dans lequel les époux ont de la famille. Cette probabilité est d’autant plus importante que le recourant s’expose à une condamnation qui pourrait être lourde au vu de la gravité des actes qu’il est soupçonné d’avoir commis. Dans ces conditions, le risque de fuite apparaît bien réel.</w:t>
      </w:r>
    </w:p>
    <w:p>
      <w:r>
        <w:rPr>
          <w:b/>
        </w:rPr>
        <w:t>E. 2.4</w:t>
      </w:r>
    </w:p>
    <w:p>
      <w:r>
        <w:t>La détention provisoire étant d'ores et déjà justifiée par le risque de fuite, il n'est pas nécessaire de trancher la question de l'existence des risques de collusion et de réitération également invoqués dans la décision entreprise. En effet, les conditions fixées à l'art. 221 al. 1 let. a à c CPP sont des conditions alternatives et, partant, la réalisation d'une seule cause suffit (TF 1B_249/2011 du 7 juin 2011 c. 2.4).</w:t>
      </w:r>
    </w:p>
    <w:p>
      <w:r>
        <w:rPr>
          <w:b/>
        </w:rPr>
        <w:t>E. 2.5</w:t>
      </w:r>
    </w:p>
    <w:p>
      <w:r>
        <w:t>La détention provisoire doit encore être conforme au principe de proportionnalité (art. 212 al. 3 CPP). En l’espèce, compte tenu de l’infraction faisant l'objet de l'instruction, les quelque cinq mois et demi de détention subis à ce jour par X.________ demeurent proportionnés à la peine concrètement encourue en cas de condamnation (cf. art. 19 ch. 2 LStup).</w:t>
      </w:r>
    </w:p>
    <w:p>
      <w:r>
        <w:rPr>
          <w:b/>
        </w:rPr>
        <w:t>E. 3.1</w:t>
      </w:r>
    </w:p>
    <w:p>
      <w:r>
        <w:t>Conformément au principe de la proportionnalité (art. 36 al. 3 Cst. [Constitution fédérale de la Confédération suisse du 18 avril 1999 ; RS 101]),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saisie des documents d'identité (let. b), l'assignation à résidence (let. c) ou l'obligation de se présenter régulièrement à un service administratif (let. d). En l’espèce, le risque de fuite ne peut pas être pallié par le dépôt des pièces d'identité ou par l'assignation à résidence. En effet, conformément à la jurisprudence du Tribunal fédéral, ces mesures ne peuvent pas empêcher l'intéressé de passer la frontière, au vu du peu de difficulté à quitter la Suisse sans papiers (cf. arrêts TF 1B_423/2010 du 17 janvier 2011 c. 5.2 et TF 1B_72/2007 du 16 mai 2007 c. 4.4). Quant à une éventuelle obligation de se présenter régulièrement à un poste de police, elle n'est pas non plus de nature à empêcher une personne dans la situation du recourant de s'enfuir à l'étranger, mais permet uniquement de constater la fuite, quelques jours après sa survenance. Par ailleurs, la surveillance électronique ne constitue pas en soi une mesure de substitution mais uniquement un moyen de contrôler l'exécution d'une telle mesure: s'il apparaît d'emblée que cette mesure n'est pas apte à prévenir le risque de fuite, la surveillance électronique ne saurait être mise en oeuvre (cf. arrêt TF 1B_447/2011 du 21 septembre 2011 c. 3.4). Or, compte tenu des éléments mentionnés ci-dessus pour retenir l'existence d'un risque de fuite, les mesures de substitution précitées n'apparaissent pas suffisantes pour empêcher le recourant de passer la frontière afin d'échapper à son jugement, même si une surveillance électronique était mise en oeuvre. Enfin, on ne voit pas quelle autre mesure de substitution pourrait atteindre le même but que la détention.</w:t>
      </w:r>
    </w:p>
    <w:p>
      <w:r>
        <w:rPr>
          <w:b/>
        </w:rPr>
        <w:t>E. 4</w:t>
      </w:r>
    </w:p>
    <w:p>
      <w:r>
        <w:t>En définitive, le recours doit être rejeté sans autre échange d’écritures (art. 390 al. 2 CPP) et l'ordonnance du 21 juillet 2014 confirmée. Les frais de la procédure de recours, constitués en l’espèce de l’émolument d'arrêt, par 770 fr. (art. 20 al. 1 TFIP  [Tarif des frais de procédure et indemnités en matière pénale du 28 septembre 2010; RSV 312.03.]), et des frais imputables à la défense d’office (art. 422 al. 1 et 2 let. a CPP), fixés à 540 fr., plus la TVA par 43 fr. 20, soit au total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21 juillet 2014 est confirmée. III. L’indemnité due au défenseur d’office de X.________ est fixée à 583 fr. 20 (cinq cent huitante-trois francs et vingt centimes). IV. Les frais d’arrêt, par 770 fr. (sept cent septante francs), ainsi que l’indemnité due au défenseur d’office de X.________, par 583 fr. 20 (cinq cent huitante-trois francs et vingt centimes), sont mis à la charge du recourant. V. Le remboursement à l’Etat de l’indemnité allouée au chiffre III ci-dessus sera exigible pour autant que la situation économique de X.________ se soit améliorée. VI. Le présent arrêt est exécutoire. Le président :               La greffière : Du L'arrêt qui précède, dont la rédaction a été approuvée à huis clos, est notifié, par l'envoi d'une copie complète, à : - M. Raphaël Dessemontet, avocat (pour X.________), - Ministère public central, et communiqué à : ‑ M. le Président du Tribunal des mesures de contrainte,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