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655 vom 4. August 2014</w:t>
      </w:r>
    </w:p>
    <w:p>
      <w:r>
        <w:t>VD Tribunal cantonal, 2014-08-04, FR</w:t>
      </w:r>
    </w:p>
    <w:p>
      <w:r>
        <w:rPr>
          <w:b/>
        </w:rPr>
        <w:t xml:space="preserve">Quelle: </w:t>
      </w:r>
      <w:r>
        <w:t>https://mcp.opencaselaw.ch/entscheid/vd_findinfo_D_cision___2014___655</w:t>
      </w:r>
    </w:p>
    <w:p>
      <w:r>
        <w:t>FR: VD_FINDINFO Décision / 2014 / 655 du 4 août 2014</w:t>
      </w:r>
    </w:p>
    <w:p>
      <w:r>
        <w:t>IT: VD_FINDINFO Décision / 2014 / 655 del 4 agosto 2014</w:t>
      </w:r>
    </w:p>
    <w:p>
      <w:pPr>
        <w:pStyle w:val="Heading2"/>
      </w:pPr>
      <w:r>
        <w:t>Regeste</w:t>
      </w:r>
    </w:p>
    <w:p>
      <w:r>
        <w:t>LIBÉRATION CONDITIONNELLE | 86 al. 1 CP</w:t>
      </w:r>
    </w:p>
    <w:p>
      <w:pPr>
        <w:pStyle w:val="Heading2"/>
      </w:pPr>
      <w:r>
        <w:t>Erwägungen</w:t>
      </w:r>
    </w:p>
    <w:p>
      <w:r>
        <w:rPr>
          <w:b/>
        </w:rPr>
        <w:t>E. 1</w:t>
      </w:r>
    </w:p>
    <w:p>
      <w:r>
        <w:t>a) L’art. 26 al. 1 de la loi cantonale du</w:t>
      </w:r>
    </w:p>
    <w:p>
      <w:r>
        <w:rPr>
          <w:b/>
        </w:rPr>
        <w:t>E. 4</w:t>
      </w:r>
    </w:p>
    <w:p>
      <w:r>
        <w:t>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[Code pénal; RS 311.0]).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nonobstant l’absence de conclusions explicites, de sorte qu’il y a lieu d’entrer en matière. 2. 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Maire, La libération conditionnelle, in : Kuhn/Moreillon/ 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la condition objective de l’exécution des deux tiers de la peine prévue par l'art. 86 al. 1 CP est réalisée depuis le 23 juillet 2014. Il en va de même de la condition du bon comportement du recourant en détention. Seule est donc litigieuse la question du pronostic à poser en vertu de l'art. 86 al. 1 CP. Les antécédents du recourant sont particulièrement lourds. Il a fait l’objet de pas moins de neuf condamnations depuis 2011, dont les cinq qu’il exécute actuellement. Ces décisions ont été rendues à une cadence soutenue, ce qui témoigne que le condamné est peu sensible à la répression pénale. L’intéressé a au surplus expressément indiqué qu’il n’entendait pas renoncer à sa consommation de stupéfiants, alors même que ce comportement est, pour partie, à l’origine de son activité délictuelle. En outre, comme l’a relevé à juste titre la Juge d’application des peines, le condamné ne fait preuve d’aucun amendement ni d’aucune prise de conscience de la gravité de ses actes. Il n’a à aucun moment exprimé de regrets à l’égard de ses victimes. En outre, sa volonté de poursuivre sa consommation de stupéfiants, déjà mentionnée, témoigne de son absence de résipiscence, étant précisé qu’il s’était livré à cette activité prohibée même durant un régime de semi-liberté. Il en va de même de son intention affichée de rester en Suisse en refusant, du moins pour l’heure, son renvoi dans son pays d’origine. De surcroît, les prétextes qu’il invoque révèlent son dessein revendiqué d’ignorer les condamnations pour infraction à la LEtr prononcées à son encontre. Enfin, force est de constater que les projets du recourant ne sont ni concrets, ni aboutis. Il a en effet expliqué vouloir rester en Suisse alors même qu’il ne dispose d’aucun titre de séjour dans notre pays; de même, il a relevé souhaiter aller en Italie, mais sans pour autant produire de document étayant son droit de résider sur le territoire de cet Etat. Au vu de ces éléments d’appréciation, il y a lieu de constater, à l’instar de l’OEP et du premier juge, que seul un pronostic clairement défavorable peut être émis. Il résulte de ce qui précède que c’est à bon droit que la Juge d'application des peines a refusé d’accorder la libération conditionnelle à X.________. 3. En définitive, le recours, manifestement mal fondé, doit être rejeté sans autres échanges d'écritures (art. 390 al. 2 CPP) et l’ordonnance entreprise confirmée. Les frais de la procédure de recours, constitués en l’espèce de l’émolument d'arrêt, par 770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11 juillet 2014 est confirmée. III. Les frais d'arrêt, par 770 fr. (sept cent septante francs), sont mis à la charge d’X.________. IV. Le présent arrêt est exécutoire. Le vice-président : Le greffier : Du L'arrêt qui précède, dont la rédaction a été approuvée à huis clos, est notifié, par l'envoi d'une copie complète, à : - M. X.________, - Ministère public central, et communiqué à : ‑ Mme la Juge d’application des peines, - M. le Procureur cantonal Strada, - Office d’exécution des peines (réf. : OEP/PPL/86940/AVI/JR), - Direction de la Maison Le Vallon, - Service de la population, division étrangers,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